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3487" w14:textId="77777777" w:rsidR="0099160E" w:rsidRDefault="0099160E" w:rsidP="0099160E">
      <w:pPr>
        <w:spacing w:after="0" w:line="240" w:lineRule="auto"/>
        <w:rPr>
          <w:rFonts w:ascii="Century Gothic" w:eastAsia="Times New Roman" w:hAnsi="Century Gothic" w:cs="Arial"/>
          <w:b/>
          <w:bCs/>
          <w:color w:val="333333"/>
          <w:sz w:val="20"/>
          <w:szCs w:val="20"/>
          <w:lang w:eastAsia="de-CH"/>
        </w:rPr>
      </w:pPr>
    </w:p>
    <w:p w14:paraId="41635452" w14:textId="580557AF" w:rsidR="00717500" w:rsidRPr="00717500" w:rsidRDefault="0099160E" w:rsidP="00717500">
      <w:pPr>
        <w:spacing w:after="0"/>
        <w:jc w:val="both"/>
        <w:rPr>
          <w:rFonts w:ascii="Century Gothic" w:eastAsia="Times New Roman" w:hAnsi="Century Gothic" w:cs="Arial"/>
          <w:b/>
          <w:bCs/>
          <w:color w:val="333333"/>
          <w:sz w:val="20"/>
          <w:szCs w:val="20"/>
          <w:lang w:eastAsia="de-CH"/>
        </w:rPr>
      </w:pPr>
      <w:r>
        <w:rPr>
          <w:rFonts w:ascii="Century Gothic" w:eastAsia="Times New Roman" w:hAnsi="Century Gothic" w:cs="Arial"/>
          <w:b/>
          <w:bCs/>
          <w:color w:val="333333"/>
          <w:sz w:val="32"/>
          <w:szCs w:val="32"/>
          <w:lang w:eastAsia="de-CH"/>
        </w:rPr>
        <w:t>EU-Milch in Afrika</w:t>
      </w:r>
      <w:r w:rsidR="00717500" w:rsidRPr="00717500">
        <w:rPr>
          <w:rFonts w:ascii="Century Gothic" w:eastAsia="Times New Roman" w:hAnsi="Century Gothic" w:cs="Times New Roman"/>
          <w:sz w:val="20"/>
          <w:szCs w:val="20"/>
          <w:lang w:eastAsia="de-CH"/>
        </w:rPr>
        <w:fldChar w:fldCharType="begin"/>
      </w:r>
      <w:r w:rsidR="00717500" w:rsidRPr="00717500">
        <w:rPr>
          <w:rFonts w:ascii="Century Gothic" w:eastAsia="Times New Roman" w:hAnsi="Century Gothic" w:cs="Times New Roman"/>
          <w:sz w:val="20"/>
          <w:szCs w:val="20"/>
          <w:lang w:eastAsia="de-CH"/>
        </w:rPr>
        <w:instrText xml:space="preserve"> HYPERLINK "https://myskillbox-abu-news.webflow.io/eu-milch-in-afrika" </w:instrText>
      </w:r>
      <w:r w:rsidR="00717500" w:rsidRPr="00717500">
        <w:rPr>
          <w:rFonts w:ascii="Century Gothic" w:eastAsia="Times New Roman" w:hAnsi="Century Gothic" w:cs="Times New Roman"/>
          <w:sz w:val="20"/>
          <w:szCs w:val="20"/>
          <w:lang w:eastAsia="de-CH"/>
        </w:rPr>
        <w:fldChar w:fldCharType="separate"/>
      </w:r>
    </w:p>
    <w:p w14:paraId="1AA69CD7" w14:textId="32B34D02" w:rsidR="00717500" w:rsidRPr="00717500" w:rsidRDefault="00717500" w:rsidP="00717500">
      <w:pPr>
        <w:spacing w:before="100" w:beforeAutospacing="1" w:after="100" w:afterAutospacing="1"/>
        <w:jc w:val="both"/>
        <w:textAlignment w:val="baseline"/>
        <w:rPr>
          <w:rFonts w:ascii="Century Gothic" w:eastAsia="Times New Roman" w:hAnsi="Century Gothic" w:cs="Times New Roman"/>
          <w:color w:val="333333"/>
          <w:sz w:val="20"/>
          <w:szCs w:val="20"/>
          <w:lang w:eastAsia="de-CH"/>
        </w:rPr>
      </w:pPr>
      <w:r w:rsidRPr="0099160E">
        <w:rPr>
          <w:rFonts w:ascii="Arial" w:eastAsia="Times New Roman" w:hAnsi="Arial" w:cs="Arial"/>
          <w:noProof/>
          <w:color w:val="333333"/>
          <w:sz w:val="21"/>
          <w:szCs w:val="21"/>
          <w:lang w:eastAsia="de-CH"/>
        </w:rPr>
        <w:drawing>
          <wp:anchor distT="0" distB="0" distL="114300" distR="114300" simplePos="0" relativeHeight="251659776" behindDoc="1" locked="0" layoutInCell="1" allowOverlap="1" wp14:anchorId="41DC6C46" wp14:editId="349997EF">
            <wp:simplePos x="0" y="0"/>
            <wp:positionH relativeFrom="column">
              <wp:posOffset>1905</wp:posOffset>
            </wp:positionH>
            <wp:positionV relativeFrom="paragraph">
              <wp:posOffset>1519232</wp:posOffset>
            </wp:positionV>
            <wp:extent cx="4492800" cy="2995200"/>
            <wp:effectExtent l="0" t="0" r="3175" b="0"/>
            <wp:wrapTight wrapText="bothSides">
              <wp:wrapPolygon edited="0">
                <wp:start x="0" y="0"/>
                <wp:lineTo x="0" y="21435"/>
                <wp:lineTo x="21524" y="21435"/>
                <wp:lineTo x="21524" y="0"/>
                <wp:lineTo x="0" y="0"/>
              </wp:wrapPolygon>
            </wp:wrapTight>
            <wp:docPr id="1" name="Bild 1" descr="Ein Bild, das drinn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drinnen, stehend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2800" cy="299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7500">
        <w:rPr>
          <w:rFonts w:ascii="Century Gothic" w:eastAsia="Times New Roman" w:hAnsi="Century Gothic" w:cs="Times New Roman"/>
          <w:color w:val="333333"/>
          <w:sz w:val="20"/>
          <w:szCs w:val="20"/>
          <w:bdr w:val="none" w:sz="0" w:space="0" w:color="auto" w:frame="1"/>
          <w:lang w:eastAsia="de-CH"/>
        </w:rPr>
        <w:t>In Europa sind die Milchpreise im Keller. Überschüssige Milch, bzw. Ersatzprodukte davon, werden nach Afrika exportiert. Der Marktanteil dieser Ersatzprodukte, die schon seit Jahrzehnten aus Europa importiert werden, beträgt 95 Prozent. Die lokalen Milchbauern erreichen nur fünf Prozent der Konsumenten. Dies ist für die Milcherzeuger auf dem afrikanischen Kontinent ein Desaster, ihnen droht der Konkurs. Warum die Milchersatzprodukte in Afrika einen derart hohen Absatz haben und welche Rolle Freihandelsabkommen dabei spielen, erfahren Sie i</w:t>
      </w:r>
      <w:r>
        <w:rPr>
          <w:rFonts w:ascii="Century Gothic" w:eastAsia="Times New Roman" w:hAnsi="Century Gothic" w:cs="Times New Roman"/>
          <w:color w:val="333333"/>
          <w:sz w:val="20"/>
          <w:szCs w:val="20"/>
          <w:bdr w:val="none" w:sz="0" w:space="0" w:color="auto" w:frame="1"/>
          <w:lang w:eastAsia="de-CH"/>
        </w:rPr>
        <w:t>m untenstehenden Bericht.</w:t>
      </w:r>
    </w:p>
    <w:p w14:paraId="7D963B07" w14:textId="1F1064DC" w:rsidR="00717500" w:rsidRPr="0099160E" w:rsidRDefault="00717500" w:rsidP="00717500">
      <w:pPr>
        <w:spacing w:after="0"/>
        <w:jc w:val="both"/>
        <w:rPr>
          <w:rFonts w:ascii="Century Gothic" w:eastAsia="Times New Roman" w:hAnsi="Century Gothic" w:cs="Arial"/>
          <w:b/>
          <w:bCs/>
          <w:color w:val="333333"/>
          <w:sz w:val="20"/>
          <w:szCs w:val="20"/>
          <w:lang w:eastAsia="de-CH"/>
        </w:rPr>
      </w:pPr>
      <w:r w:rsidRPr="00717500">
        <w:rPr>
          <w:rFonts w:ascii="Century Gothic" w:eastAsia="Times New Roman" w:hAnsi="Century Gothic" w:cs="Times New Roman"/>
          <w:sz w:val="20"/>
          <w:szCs w:val="20"/>
          <w:lang w:eastAsia="de-CH"/>
        </w:rPr>
        <w:fldChar w:fldCharType="end"/>
      </w:r>
    </w:p>
    <w:p w14:paraId="3BDD2388" w14:textId="441D4A2C" w:rsidR="0099160E" w:rsidRDefault="0099160E" w:rsidP="0099160E">
      <w:pPr>
        <w:spacing w:before="150" w:after="150" w:line="180" w:lineRule="atLeast"/>
        <w:rPr>
          <w:rFonts w:ascii="Arial" w:eastAsia="Times New Roman" w:hAnsi="Arial" w:cs="Arial"/>
          <w:color w:val="868686"/>
          <w:sz w:val="18"/>
          <w:szCs w:val="18"/>
          <w:lang w:eastAsia="de-CH"/>
        </w:rPr>
      </w:pPr>
    </w:p>
    <w:p w14:paraId="46426279" w14:textId="27CCA301" w:rsidR="0099160E" w:rsidRDefault="0099160E" w:rsidP="0099160E">
      <w:pPr>
        <w:spacing w:before="150" w:after="150" w:line="180" w:lineRule="atLeast"/>
        <w:rPr>
          <w:rFonts w:ascii="Arial" w:eastAsia="Times New Roman" w:hAnsi="Arial" w:cs="Arial"/>
          <w:color w:val="868686"/>
          <w:sz w:val="18"/>
          <w:szCs w:val="18"/>
          <w:lang w:eastAsia="de-CH"/>
        </w:rPr>
      </w:pPr>
    </w:p>
    <w:p w14:paraId="56E89EA5" w14:textId="21BECB8E" w:rsidR="0099160E" w:rsidRDefault="0099160E" w:rsidP="0099160E">
      <w:pPr>
        <w:spacing w:before="150" w:after="150" w:line="180" w:lineRule="atLeast"/>
        <w:rPr>
          <w:rFonts w:ascii="Arial" w:eastAsia="Times New Roman" w:hAnsi="Arial" w:cs="Arial"/>
          <w:color w:val="868686"/>
          <w:sz w:val="18"/>
          <w:szCs w:val="18"/>
          <w:lang w:eastAsia="de-CH"/>
        </w:rPr>
      </w:pPr>
    </w:p>
    <w:p w14:paraId="69AA9FC5" w14:textId="590B5450" w:rsidR="0099160E" w:rsidRDefault="0099160E" w:rsidP="0099160E">
      <w:pPr>
        <w:spacing w:before="150" w:after="150" w:line="180" w:lineRule="atLeast"/>
        <w:rPr>
          <w:rFonts w:ascii="Arial" w:eastAsia="Times New Roman" w:hAnsi="Arial" w:cs="Arial"/>
          <w:color w:val="868686"/>
          <w:sz w:val="18"/>
          <w:szCs w:val="18"/>
          <w:lang w:eastAsia="de-CH"/>
        </w:rPr>
      </w:pPr>
    </w:p>
    <w:p w14:paraId="576CCDFB" w14:textId="77777777" w:rsidR="0099160E" w:rsidRDefault="0099160E" w:rsidP="0099160E">
      <w:pPr>
        <w:spacing w:before="150" w:after="150" w:line="180" w:lineRule="atLeast"/>
        <w:rPr>
          <w:rFonts w:ascii="Arial" w:eastAsia="Times New Roman" w:hAnsi="Arial" w:cs="Arial"/>
          <w:color w:val="868686"/>
          <w:sz w:val="18"/>
          <w:szCs w:val="18"/>
          <w:lang w:eastAsia="de-CH"/>
        </w:rPr>
      </w:pPr>
    </w:p>
    <w:p w14:paraId="48A52BAE" w14:textId="77777777" w:rsidR="0099160E" w:rsidRDefault="0099160E" w:rsidP="0099160E">
      <w:pPr>
        <w:spacing w:before="150" w:after="150" w:line="180" w:lineRule="atLeast"/>
        <w:rPr>
          <w:rFonts w:ascii="Arial" w:eastAsia="Times New Roman" w:hAnsi="Arial" w:cs="Arial"/>
          <w:color w:val="868686"/>
          <w:sz w:val="18"/>
          <w:szCs w:val="18"/>
          <w:lang w:eastAsia="de-CH"/>
        </w:rPr>
      </w:pPr>
    </w:p>
    <w:p w14:paraId="4CC657CD" w14:textId="77777777" w:rsidR="0099160E" w:rsidRDefault="0099160E" w:rsidP="0099160E">
      <w:pPr>
        <w:spacing w:before="150" w:after="150" w:line="180" w:lineRule="atLeast"/>
        <w:rPr>
          <w:rFonts w:ascii="Arial" w:eastAsia="Times New Roman" w:hAnsi="Arial" w:cs="Arial"/>
          <w:color w:val="868686"/>
          <w:sz w:val="18"/>
          <w:szCs w:val="18"/>
          <w:lang w:eastAsia="de-CH"/>
        </w:rPr>
      </w:pPr>
    </w:p>
    <w:p w14:paraId="13096B28" w14:textId="77777777" w:rsidR="0099160E" w:rsidRDefault="0099160E" w:rsidP="0099160E">
      <w:pPr>
        <w:spacing w:before="150" w:after="150" w:line="180" w:lineRule="atLeast"/>
        <w:rPr>
          <w:rFonts w:ascii="Arial" w:eastAsia="Times New Roman" w:hAnsi="Arial" w:cs="Arial"/>
          <w:color w:val="868686"/>
          <w:sz w:val="18"/>
          <w:szCs w:val="18"/>
          <w:lang w:eastAsia="de-CH"/>
        </w:rPr>
      </w:pPr>
    </w:p>
    <w:p w14:paraId="7417BAD8" w14:textId="77777777" w:rsidR="0099160E" w:rsidRDefault="0099160E" w:rsidP="0099160E">
      <w:pPr>
        <w:spacing w:before="150" w:after="150" w:line="180" w:lineRule="atLeast"/>
        <w:rPr>
          <w:rFonts w:ascii="Arial" w:eastAsia="Times New Roman" w:hAnsi="Arial" w:cs="Arial"/>
          <w:color w:val="868686"/>
          <w:sz w:val="18"/>
          <w:szCs w:val="18"/>
          <w:lang w:eastAsia="de-CH"/>
        </w:rPr>
      </w:pPr>
    </w:p>
    <w:p w14:paraId="232D7A69" w14:textId="77777777" w:rsidR="0099160E" w:rsidRDefault="0099160E" w:rsidP="0099160E">
      <w:pPr>
        <w:spacing w:before="150" w:after="150" w:line="180" w:lineRule="atLeast"/>
        <w:rPr>
          <w:rFonts w:ascii="Arial" w:eastAsia="Times New Roman" w:hAnsi="Arial" w:cs="Arial"/>
          <w:color w:val="868686"/>
          <w:sz w:val="18"/>
          <w:szCs w:val="18"/>
          <w:lang w:eastAsia="de-CH"/>
        </w:rPr>
      </w:pPr>
    </w:p>
    <w:p w14:paraId="699C2A2D" w14:textId="77777777" w:rsidR="0099160E" w:rsidRDefault="0099160E" w:rsidP="0099160E">
      <w:pPr>
        <w:spacing w:before="150" w:after="150" w:line="180" w:lineRule="atLeast"/>
        <w:rPr>
          <w:rFonts w:ascii="Arial" w:eastAsia="Times New Roman" w:hAnsi="Arial" w:cs="Arial"/>
          <w:color w:val="868686"/>
          <w:sz w:val="18"/>
          <w:szCs w:val="18"/>
          <w:lang w:eastAsia="de-CH"/>
        </w:rPr>
      </w:pPr>
    </w:p>
    <w:p w14:paraId="67DF83E8" w14:textId="77777777" w:rsidR="0099160E" w:rsidRDefault="0099160E" w:rsidP="0099160E">
      <w:pPr>
        <w:spacing w:before="150" w:after="150" w:line="180" w:lineRule="atLeast"/>
        <w:rPr>
          <w:rFonts w:ascii="Arial" w:eastAsia="Times New Roman" w:hAnsi="Arial" w:cs="Arial"/>
          <w:color w:val="868686"/>
          <w:sz w:val="18"/>
          <w:szCs w:val="18"/>
          <w:lang w:eastAsia="de-CH"/>
        </w:rPr>
      </w:pPr>
    </w:p>
    <w:p w14:paraId="4B5A4473" w14:textId="239E0318" w:rsidR="0099160E" w:rsidRDefault="0099160E" w:rsidP="0099160E">
      <w:pPr>
        <w:spacing w:before="150" w:after="150" w:line="180" w:lineRule="atLeast"/>
        <w:rPr>
          <w:rFonts w:ascii="Century Gothic" w:eastAsia="Times New Roman" w:hAnsi="Century Gothic" w:cs="Arial"/>
          <w:color w:val="868686"/>
          <w:sz w:val="16"/>
          <w:szCs w:val="16"/>
          <w:lang w:eastAsia="de-CH"/>
        </w:rPr>
      </w:pPr>
      <w:hyperlink r:id="rId8" w:tgtFrame="_blank" w:history="1">
        <w:r w:rsidRPr="0099160E">
          <w:rPr>
            <w:rFonts w:ascii="Century Gothic" w:eastAsia="Times New Roman" w:hAnsi="Century Gothic" w:cs="Arial"/>
            <w:color w:val="333333"/>
            <w:sz w:val="16"/>
            <w:szCs w:val="16"/>
            <w:u w:val="single"/>
            <w:lang w:eastAsia="de-CH"/>
          </w:rPr>
          <w:t xml:space="preserve">Quelle: iStock / </w:t>
        </w:r>
        <w:proofErr w:type="spellStart"/>
        <w:r w:rsidRPr="0099160E">
          <w:rPr>
            <w:rFonts w:ascii="Century Gothic" w:eastAsia="Times New Roman" w:hAnsi="Century Gothic" w:cs="Arial"/>
            <w:color w:val="333333"/>
            <w:sz w:val="16"/>
            <w:szCs w:val="16"/>
            <w:u w:val="single"/>
            <w:lang w:eastAsia="de-CH"/>
          </w:rPr>
          <w:t>deimagine</w:t>
        </w:r>
      </w:hyperlink>
      <w:proofErr w:type="spellEnd"/>
    </w:p>
    <w:p w14:paraId="7FE9807D" w14:textId="77777777" w:rsidR="00717500" w:rsidRPr="0099160E" w:rsidRDefault="00717500" w:rsidP="0099160E">
      <w:pPr>
        <w:spacing w:before="150" w:after="150" w:line="180" w:lineRule="atLeast"/>
        <w:rPr>
          <w:rFonts w:ascii="Century Gothic" w:eastAsia="Times New Roman" w:hAnsi="Century Gothic" w:cs="Arial"/>
          <w:color w:val="868686"/>
          <w:sz w:val="16"/>
          <w:szCs w:val="16"/>
          <w:lang w:eastAsia="de-CH"/>
        </w:rPr>
      </w:pPr>
    </w:p>
    <w:p w14:paraId="4EB00E39" w14:textId="77777777" w:rsidR="0099160E" w:rsidRDefault="0099160E" w:rsidP="0099160E">
      <w:pPr>
        <w:spacing w:before="150" w:after="150"/>
        <w:jc w:val="both"/>
        <w:rPr>
          <w:rFonts w:ascii="Arial" w:eastAsia="Times New Roman" w:hAnsi="Arial" w:cs="Arial"/>
          <w:color w:val="333333"/>
          <w:sz w:val="27"/>
          <w:szCs w:val="27"/>
          <w:lang w:eastAsia="de-CH"/>
        </w:rPr>
      </w:pPr>
      <w:r w:rsidRPr="0099160E">
        <w:rPr>
          <w:rFonts w:ascii="Century Gothic" w:eastAsia="Times New Roman" w:hAnsi="Century Gothic" w:cs="Arial"/>
          <w:b/>
          <w:bCs/>
          <w:color w:val="333333"/>
          <w:sz w:val="20"/>
          <w:szCs w:val="20"/>
          <w:lang w:eastAsia="de-CH"/>
        </w:rPr>
        <w:t>In Europa sind die Milchpreise im Keller. Überschüssige Milch wird nach Afrika exportiert. Milcherzeuger aus Burkina Faso machen auf die gravierenden Folgen aufmerksam.</w:t>
      </w:r>
    </w:p>
    <w:p w14:paraId="5B90B744" w14:textId="77777777" w:rsidR="0099160E" w:rsidRDefault="0099160E" w:rsidP="0099160E">
      <w:pPr>
        <w:spacing w:before="150" w:after="150"/>
        <w:jc w:val="both"/>
        <w:rPr>
          <w:rFonts w:ascii="Century Gothic" w:eastAsia="Times New Roman" w:hAnsi="Century Gothic" w:cs="Arial"/>
          <w:color w:val="333333"/>
          <w:sz w:val="20"/>
          <w:szCs w:val="20"/>
          <w:lang w:eastAsia="de-CH"/>
        </w:rPr>
      </w:pPr>
      <w:proofErr w:type="spellStart"/>
      <w:r w:rsidRPr="0099160E">
        <w:rPr>
          <w:rFonts w:ascii="Century Gothic" w:eastAsia="Times New Roman" w:hAnsi="Century Gothic" w:cs="Arial"/>
          <w:color w:val="333333"/>
          <w:sz w:val="20"/>
          <w:szCs w:val="20"/>
          <w:lang w:eastAsia="de-CH"/>
        </w:rPr>
        <w:t>Hamidou</w:t>
      </w:r>
      <w:proofErr w:type="spellEnd"/>
      <w:r w:rsidRPr="0099160E">
        <w:rPr>
          <w:rFonts w:ascii="Century Gothic" w:eastAsia="Times New Roman" w:hAnsi="Century Gothic" w:cs="Arial"/>
          <w:color w:val="333333"/>
          <w:sz w:val="20"/>
          <w:szCs w:val="20"/>
          <w:lang w:eastAsia="de-CH"/>
        </w:rPr>
        <w:t xml:space="preserve"> </w:t>
      </w:r>
      <w:proofErr w:type="spellStart"/>
      <w:r w:rsidRPr="0099160E">
        <w:rPr>
          <w:rFonts w:ascii="Century Gothic" w:eastAsia="Times New Roman" w:hAnsi="Century Gothic" w:cs="Arial"/>
          <w:color w:val="333333"/>
          <w:sz w:val="20"/>
          <w:szCs w:val="20"/>
          <w:lang w:eastAsia="de-CH"/>
        </w:rPr>
        <w:t>Bandé</w:t>
      </w:r>
      <w:proofErr w:type="spellEnd"/>
      <w:r w:rsidRPr="0099160E">
        <w:rPr>
          <w:rFonts w:ascii="Century Gothic" w:eastAsia="Times New Roman" w:hAnsi="Century Gothic" w:cs="Arial"/>
          <w:color w:val="333333"/>
          <w:sz w:val="20"/>
          <w:szCs w:val="20"/>
          <w:lang w:eastAsia="de-CH"/>
        </w:rPr>
        <w:t xml:space="preserve"> und seine Familie bewirtschaften seit Jahrzehnten Milchkühe in </w:t>
      </w:r>
      <w:hyperlink r:id="rId9" w:tgtFrame="_blank" w:history="1">
        <w:r w:rsidRPr="0099160E">
          <w:rPr>
            <w:rFonts w:ascii="Century Gothic" w:eastAsia="Times New Roman" w:hAnsi="Century Gothic" w:cs="Arial"/>
            <w:color w:val="333333"/>
            <w:sz w:val="20"/>
            <w:szCs w:val="20"/>
            <w:lang w:eastAsia="de-CH"/>
          </w:rPr>
          <w:t>Burkina Faso</w:t>
        </w:r>
      </w:hyperlink>
      <w:r w:rsidRPr="0099160E">
        <w:rPr>
          <w:rFonts w:ascii="Century Gothic" w:eastAsia="Times New Roman" w:hAnsi="Century Gothic" w:cs="Arial"/>
          <w:color w:val="333333"/>
          <w:sz w:val="20"/>
          <w:szCs w:val="20"/>
          <w:lang w:eastAsia="de-CH"/>
        </w:rPr>
        <w:t xml:space="preserve">. Noch in den 1970er-Jahren verkaufte sein Vater Milch an lokale Schulen und Molkereien – doch heute kann </w:t>
      </w:r>
      <w:proofErr w:type="spellStart"/>
      <w:r w:rsidRPr="0099160E">
        <w:rPr>
          <w:rFonts w:ascii="Century Gothic" w:eastAsia="Times New Roman" w:hAnsi="Century Gothic" w:cs="Arial"/>
          <w:color w:val="333333"/>
          <w:sz w:val="20"/>
          <w:szCs w:val="20"/>
          <w:lang w:eastAsia="de-CH"/>
        </w:rPr>
        <w:t>Bandé</w:t>
      </w:r>
      <w:proofErr w:type="spellEnd"/>
      <w:r w:rsidRPr="0099160E">
        <w:rPr>
          <w:rFonts w:ascii="Century Gothic" w:eastAsia="Times New Roman" w:hAnsi="Century Gothic" w:cs="Arial"/>
          <w:color w:val="333333"/>
          <w:sz w:val="20"/>
          <w:szCs w:val="20"/>
          <w:lang w:eastAsia="de-CH"/>
        </w:rPr>
        <w:t xml:space="preserve"> seine Milch kaum noch absetzen. Zu stark ist die internationale Konkurrenz, die Milchprodukte zu Tiefstpreisen anbietet.</w:t>
      </w:r>
    </w:p>
    <w:p w14:paraId="0B3263D2" w14:textId="77777777" w:rsidR="0099160E" w:rsidRDefault="0099160E" w:rsidP="0099160E">
      <w:pPr>
        <w:spacing w:before="150" w:after="150"/>
        <w:jc w:val="both"/>
        <w:rPr>
          <w:rFonts w:ascii="Century Gothic" w:eastAsia="Times New Roman" w:hAnsi="Century Gothic" w:cs="Arial"/>
          <w:color w:val="333333"/>
          <w:sz w:val="20"/>
          <w:szCs w:val="20"/>
          <w:lang w:eastAsia="de-CH"/>
        </w:rPr>
      </w:pPr>
      <w:r w:rsidRPr="0099160E">
        <w:rPr>
          <w:rFonts w:ascii="Century Gothic" w:eastAsia="Times New Roman" w:hAnsi="Century Gothic" w:cs="Arial"/>
          <w:color w:val="333333"/>
          <w:sz w:val="20"/>
          <w:szCs w:val="20"/>
          <w:lang w:eastAsia="de-CH"/>
        </w:rPr>
        <w:t>Europ</w:t>
      </w:r>
      <w:r w:rsidRPr="0099160E">
        <w:rPr>
          <w:rFonts w:ascii="Century Gothic" w:eastAsia="Times New Roman" w:hAnsi="Century Gothic" w:cs="Century Gothic"/>
          <w:color w:val="333333"/>
          <w:sz w:val="20"/>
          <w:szCs w:val="20"/>
          <w:lang w:eastAsia="de-CH"/>
        </w:rPr>
        <w:t>ä</w:t>
      </w:r>
      <w:r w:rsidRPr="0099160E">
        <w:rPr>
          <w:rFonts w:ascii="Century Gothic" w:eastAsia="Times New Roman" w:hAnsi="Century Gothic" w:cs="Arial"/>
          <w:color w:val="333333"/>
          <w:sz w:val="20"/>
          <w:szCs w:val="20"/>
          <w:lang w:eastAsia="de-CH"/>
        </w:rPr>
        <w:t>ische Milchproduzenten bieten billige Milchersatzprodukte aus Molke (Restflüssigkeit, die bei der Käse- oder Butterproduktion entsteht) an, die mit pflanzlichen Fetten wie </w:t>
      </w:r>
      <w:hyperlink r:id="rId10" w:tgtFrame="_blank" w:history="1">
        <w:r w:rsidRPr="0099160E">
          <w:rPr>
            <w:rFonts w:ascii="Century Gothic" w:eastAsia="Times New Roman" w:hAnsi="Century Gothic" w:cs="Arial"/>
            <w:color w:val="333333"/>
            <w:sz w:val="20"/>
            <w:szCs w:val="20"/>
            <w:lang w:eastAsia="de-CH"/>
          </w:rPr>
          <w:t>Palmöl</w:t>
        </w:r>
      </w:hyperlink>
      <w:r w:rsidRPr="0099160E">
        <w:rPr>
          <w:rFonts w:ascii="Century Gothic" w:eastAsia="Times New Roman" w:hAnsi="Century Gothic" w:cs="Arial"/>
          <w:color w:val="333333"/>
          <w:sz w:val="20"/>
          <w:szCs w:val="20"/>
          <w:lang w:eastAsia="de-CH"/>
        </w:rPr>
        <w:t> aufgewertet werden. Der Marktanteil dieser Ersatzprodukte, die schon seit Jahrzehnten aus Europa importiert werden, beträgt 95 Prozent. Die lokalen Milchbauern erreichen nur fünf Prozent der Konsumenten. Westafrikanische Milchproduzenten kritisierten die europäischen Milchersatzprodukte als umweltschädlicher und ungesünder als ihre eigene Milch. Zudem verlieren so Millionen von Menschen ihr Auskommen.</w:t>
      </w:r>
    </w:p>
    <w:p w14:paraId="750BE6F0" w14:textId="3BF33445" w:rsidR="0099160E" w:rsidRDefault="0099160E" w:rsidP="0099160E">
      <w:pPr>
        <w:spacing w:before="150" w:after="150"/>
        <w:jc w:val="both"/>
        <w:rPr>
          <w:rFonts w:ascii="Century Gothic" w:eastAsia="Times New Roman" w:hAnsi="Century Gothic" w:cs="Arial"/>
          <w:color w:val="333333"/>
          <w:sz w:val="20"/>
          <w:szCs w:val="20"/>
          <w:lang w:eastAsia="de-CH"/>
        </w:rPr>
      </w:pPr>
      <w:r w:rsidRPr="0099160E">
        <w:rPr>
          <w:rFonts w:ascii="Century Gothic" w:eastAsia="Times New Roman" w:hAnsi="Century Gothic" w:cs="Arial"/>
          <w:color w:val="333333"/>
          <w:sz w:val="20"/>
          <w:szCs w:val="20"/>
          <w:lang w:eastAsia="de-CH"/>
        </w:rPr>
        <w:t>Doch warum werden diese Produkte trotz des Vorwurfs, dass sie unges</w:t>
      </w:r>
      <w:r w:rsidRPr="0099160E">
        <w:rPr>
          <w:rFonts w:ascii="Century Gothic" w:eastAsia="Times New Roman" w:hAnsi="Century Gothic" w:cs="Century Gothic"/>
          <w:color w:val="333333"/>
          <w:sz w:val="20"/>
          <w:szCs w:val="20"/>
          <w:lang w:eastAsia="de-CH"/>
        </w:rPr>
        <w:t>ü</w:t>
      </w:r>
      <w:r w:rsidRPr="0099160E">
        <w:rPr>
          <w:rFonts w:ascii="Century Gothic" w:eastAsia="Times New Roman" w:hAnsi="Century Gothic" w:cs="Arial"/>
          <w:color w:val="333333"/>
          <w:sz w:val="20"/>
          <w:szCs w:val="20"/>
          <w:lang w:eastAsia="de-CH"/>
        </w:rPr>
        <w:t>nder sind, so oft konsumiert? Zwei Faktoren spielen dabei eine wichtige Rolle: Die Ersatzprodukte (vor allem das Milchpulver) sind überall verfügbar, auch im kleinsten Dorf. Zudem ist der Transport der frischen lokalen Milch komplizierter.</w:t>
      </w:r>
    </w:p>
    <w:p w14:paraId="7C291474" w14:textId="4F029ABA" w:rsidR="00717500" w:rsidRDefault="00717500" w:rsidP="0099160E">
      <w:pPr>
        <w:spacing w:before="150" w:after="150"/>
        <w:jc w:val="both"/>
        <w:rPr>
          <w:rFonts w:ascii="Century Gothic" w:eastAsia="Times New Roman" w:hAnsi="Century Gothic" w:cs="Arial"/>
          <w:color w:val="333333"/>
          <w:sz w:val="20"/>
          <w:szCs w:val="20"/>
          <w:lang w:eastAsia="de-CH"/>
        </w:rPr>
      </w:pPr>
    </w:p>
    <w:p w14:paraId="31F6C3B0" w14:textId="77777777" w:rsidR="00717500" w:rsidRDefault="00717500" w:rsidP="00717500">
      <w:pPr>
        <w:spacing w:before="150" w:after="0"/>
        <w:jc w:val="both"/>
        <w:rPr>
          <w:rFonts w:ascii="Century Gothic" w:eastAsia="Times New Roman" w:hAnsi="Century Gothic" w:cs="Arial"/>
          <w:color w:val="333333"/>
          <w:sz w:val="20"/>
          <w:szCs w:val="20"/>
          <w:lang w:eastAsia="de-CH"/>
        </w:rPr>
      </w:pPr>
    </w:p>
    <w:p w14:paraId="3C37AF74" w14:textId="77777777" w:rsidR="0099160E" w:rsidRDefault="0099160E" w:rsidP="0099160E">
      <w:pPr>
        <w:spacing w:before="150" w:after="150"/>
        <w:jc w:val="both"/>
        <w:rPr>
          <w:rFonts w:ascii="Century Gothic" w:eastAsia="Times New Roman" w:hAnsi="Century Gothic" w:cs="Arial"/>
          <w:color w:val="333333"/>
          <w:sz w:val="20"/>
          <w:szCs w:val="20"/>
          <w:lang w:eastAsia="de-CH"/>
        </w:rPr>
      </w:pPr>
      <w:r w:rsidRPr="0099160E">
        <w:rPr>
          <w:rFonts w:ascii="Century Gothic" w:eastAsia="Times New Roman" w:hAnsi="Century Gothic" w:cs="Arial"/>
          <w:color w:val="333333"/>
          <w:sz w:val="20"/>
          <w:szCs w:val="20"/>
          <w:lang w:eastAsia="de-CH"/>
        </w:rPr>
        <w:t>Im Rahmen von Handelsabkommen mit der EU haben viele afrikanischen L</w:t>
      </w:r>
      <w:r w:rsidRPr="0099160E">
        <w:rPr>
          <w:rFonts w:ascii="Century Gothic" w:eastAsia="Times New Roman" w:hAnsi="Century Gothic" w:cs="Century Gothic"/>
          <w:color w:val="333333"/>
          <w:sz w:val="20"/>
          <w:szCs w:val="20"/>
          <w:lang w:eastAsia="de-CH"/>
        </w:rPr>
        <w:t>ä</w:t>
      </w:r>
      <w:r w:rsidRPr="0099160E">
        <w:rPr>
          <w:rFonts w:ascii="Century Gothic" w:eastAsia="Times New Roman" w:hAnsi="Century Gothic" w:cs="Arial"/>
          <w:color w:val="333333"/>
          <w:sz w:val="20"/>
          <w:szCs w:val="20"/>
          <w:lang w:eastAsia="de-CH"/>
        </w:rPr>
        <w:t>nder ihre Grenzen f</w:t>
      </w:r>
      <w:r w:rsidRPr="0099160E">
        <w:rPr>
          <w:rFonts w:ascii="Century Gothic" w:eastAsia="Times New Roman" w:hAnsi="Century Gothic" w:cs="Century Gothic"/>
          <w:color w:val="333333"/>
          <w:sz w:val="20"/>
          <w:szCs w:val="20"/>
          <w:lang w:eastAsia="de-CH"/>
        </w:rPr>
        <w:t>ü</w:t>
      </w:r>
      <w:r w:rsidRPr="0099160E">
        <w:rPr>
          <w:rFonts w:ascii="Century Gothic" w:eastAsia="Times New Roman" w:hAnsi="Century Gothic" w:cs="Arial"/>
          <w:color w:val="333333"/>
          <w:sz w:val="20"/>
          <w:szCs w:val="20"/>
          <w:lang w:eastAsia="de-CH"/>
        </w:rPr>
        <w:t xml:space="preserve">r europäische Milchprodukte geöffnet, doch die einheimischen Bäuerinnen und Bauern sind kaum konkurrenzfähig gegenüber den subventionierten europäischen Waren. Zwar bestehen hohe Zölle auf Frischmilchprodukte wie Käse, doch nur sehr niedrige für Milchpulver und konzentrierte Milch. Dies weil Milchpulver als wichtige Nahrungsquelle für arme Menschen gilt. Die lokalen Milchproduzenten sehen dies als Trick, um die Milchpreise in den Keller zu treiben – die tiefen Preise führten dazu, dass die Einheimischen das billigere, weniger nahrhafte Milchpulver kaufen </w:t>
      </w:r>
      <w:proofErr w:type="gramStart"/>
      <w:r w:rsidRPr="0099160E">
        <w:rPr>
          <w:rFonts w:ascii="Century Gothic" w:eastAsia="Times New Roman" w:hAnsi="Century Gothic" w:cs="Arial"/>
          <w:color w:val="333333"/>
          <w:sz w:val="20"/>
          <w:szCs w:val="20"/>
          <w:lang w:eastAsia="de-CH"/>
        </w:rPr>
        <w:t>anstatt die lokale Frischmilch</w:t>
      </w:r>
      <w:proofErr w:type="gramEnd"/>
      <w:r w:rsidRPr="0099160E">
        <w:rPr>
          <w:rFonts w:ascii="Century Gothic" w:eastAsia="Times New Roman" w:hAnsi="Century Gothic" w:cs="Arial"/>
          <w:color w:val="333333"/>
          <w:sz w:val="20"/>
          <w:szCs w:val="20"/>
          <w:lang w:eastAsia="de-CH"/>
        </w:rPr>
        <w:t>.</w:t>
      </w:r>
    </w:p>
    <w:p w14:paraId="0A316BC3" w14:textId="0513697F" w:rsidR="0099160E" w:rsidRDefault="0099160E" w:rsidP="0099160E">
      <w:pPr>
        <w:jc w:val="both"/>
        <w:rPr>
          <w:rFonts w:ascii="Century Gothic" w:eastAsia="Times New Roman" w:hAnsi="Century Gothic" w:cs="Arial"/>
          <w:color w:val="333333"/>
          <w:sz w:val="20"/>
          <w:szCs w:val="20"/>
          <w:lang w:eastAsia="de-CH"/>
        </w:rPr>
      </w:pPr>
      <w:r w:rsidRPr="0099160E">
        <w:rPr>
          <w:rFonts w:ascii="Century Gothic" w:eastAsia="Times New Roman" w:hAnsi="Century Gothic" w:cs="Arial"/>
          <w:color w:val="333333"/>
          <w:sz w:val="20"/>
          <w:szCs w:val="20"/>
          <w:lang w:eastAsia="de-CH"/>
        </w:rPr>
        <w:t>Die europ</w:t>
      </w:r>
      <w:r w:rsidRPr="0099160E">
        <w:rPr>
          <w:rFonts w:ascii="Century Gothic" w:eastAsia="Times New Roman" w:hAnsi="Century Gothic" w:cs="Century Gothic"/>
          <w:color w:val="333333"/>
          <w:sz w:val="20"/>
          <w:szCs w:val="20"/>
          <w:lang w:eastAsia="de-CH"/>
        </w:rPr>
        <w:t>ä</w:t>
      </w:r>
      <w:r w:rsidRPr="0099160E">
        <w:rPr>
          <w:rFonts w:ascii="Century Gothic" w:eastAsia="Times New Roman" w:hAnsi="Century Gothic" w:cs="Arial"/>
          <w:color w:val="333333"/>
          <w:sz w:val="20"/>
          <w:szCs w:val="20"/>
          <w:lang w:eastAsia="de-CH"/>
        </w:rPr>
        <w:t>ischen Milchproduzentinnen und -</w:t>
      </w:r>
      <w:proofErr w:type="spellStart"/>
      <w:r w:rsidRPr="0099160E">
        <w:rPr>
          <w:rFonts w:ascii="Century Gothic" w:eastAsia="Times New Roman" w:hAnsi="Century Gothic" w:cs="Arial"/>
          <w:color w:val="333333"/>
          <w:sz w:val="20"/>
          <w:szCs w:val="20"/>
          <w:lang w:eastAsia="de-CH"/>
        </w:rPr>
        <w:t>produzenten</w:t>
      </w:r>
      <w:proofErr w:type="spellEnd"/>
      <w:r w:rsidRPr="0099160E">
        <w:rPr>
          <w:rFonts w:ascii="Century Gothic" w:eastAsia="Times New Roman" w:hAnsi="Century Gothic" w:cs="Arial"/>
          <w:color w:val="333333"/>
          <w:sz w:val="20"/>
          <w:szCs w:val="20"/>
          <w:lang w:eastAsia="de-CH"/>
        </w:rPr>
        <w:t xml:space="preserve"> argumentieren hingegen, dass sie mit ihrem Angebot den Menschen Nahrungssicherheit bieten wollen. Die afrikanischen Milchproduzenten könnten die hohe Nachfrage allein gar nicht stillen, sagen die Europäerinnen. In diesem Zusammenhang erwähnen europäische Branchenvertreter auch, dass es auch europäische Produzentinnen gäbe, die mit afrikanischen Milchproduzenten zusammenarbeiten.</w:t>
      </w:r>
    </w:p>
    <w:p w14:paraId="1657DC43" w14:textId="7181589D" w:rsidR="0099160E" w:rsidRPr="0099160E" w:rsidRDefault="0099160E" w:rsidP="0099160E">
      <w:pPr>
        <w:jc w:val="both"/>
        <w:rPr>
          <w:rFonts w:ascii="Century Gothic" w:eastAsia="Times New Roman" w:hAnsi="Century Gothic" w:cs="Arial"/>
          <w:color w:val="333333"/>
          <w:sz w:val="20"/>
          <w:szCs w:val="20"/>
          <w:lang w:eastAsia="de-CH"/>
        </w:rPr>
      </w:pPr>
      <w:r w:rsidRPr="0099160E">
        <w:rPr>
          <w:rFonts w:ascii="Century Gothic" w:eastAsia="Times New Roman" w:hAnsi="Century Gothic" w:cs="Arial"/>
          <w:color w:val="333333"/>
          <w:sz w:val="20"/>
          <w:szCs w:val="20"/>
          <w:lang w:eastAsia="de-CH"/>
        </w:rPr>
        <w:t>Westafrikanische Länder unternehmen inzwischen Schritte, um den Import von ausländischen Milchprodukten zu erschweren und so ihre lokalen Milchwirtschaften zu schützen. Viele Bäuerinnen und Bauern sagen aber, dass die Massnahmen zu wenig weitreichend sind – ihnen droht der Konkurs.</w:t>
      </w:r>
    </w:p>
    <w:p w14:paraId="43A9C504" w14:textId="195958EA" w:rsidR="0099160E" w:rsidRDefault="0099160E" w:rsidP="0099160E">
      <w:pPr>
        <w:spacing w:before="150" w:after="150" w:line="180" w:lineRule="atLeast"/>
        <w:jc w:val="both"/>
        <w:rPr>
          <w:rFonts w:ascii="Century Gothic" w:eastAsia="Times New Roman" w:hAnsi="Century Gothic" w:cs="Arial"/>
          <w:color w:val="868686"/>
          <w:sz w:val="16"/>
          <w:szCs w:val="16"/>
          <w:lang w:eastAsia="de-CH"/>
        </w:rPr>
      </w:pPr>
      <w:r w:rsidRPr="0099160E">
        <w:rPr>
          <w:rFonts w:ascii="Century Gothic" w:eastAsia="Times New Roman" w:hAnsi="Century Gothic" w:cs="Arial"/>
          <w:color w:val="868686"/>
          <w:sz w:val="16"/>
          <w:szCs w:val="16"/>
          <w:lang w:eastAsia="de-CH"/>
        </w:rPr>
        <w:t>Quelle: </w:t>
      </w:r>
      <w:hyperlink r:id="rId11" w:tgtFrame="_blank" w:history="1">
        <w:r w:rsidRPr="0099160E">
          <w:rPr>
            <w:rFonts w:ascii="Century Gothic" w:eastAsia="Times New Roman" w:hAnsi="Century Gothic" w:cs="Arial"/>
            <w:color w:val="333333"/>
            <w:sz w:val="16"/>
            <w:szCs w:val="16"/>
            <w:u w:val="single"/>
            <w:lang w:eastAsia="de-CH"/>
          </w:rPr>
          <w:t xml:space="preserve">Simon </w:t>
        </w:r>
        <w:proofErr w:type="spellStart"/>
        <w:r w:rsidRPr="0099160E">
          <w:rPr>
            <w:rFonts w:ascii="Century Gothic" w:eastAsia="Times New Roman" w:hAnsi="Century Gothic" w:cs="Arial"/>
            <w:color w:val="333333"/>
            <w:sz w:val="16"/>
            <w:szCs w:val="16"/>
            <w:u w:val="single"/>
            <w:lang w:eastAsia="de-CH"/>
          </w:rPr>
          <w:t>Marksand</w:t>
        </w:r>
        <w:proofErr w:type="spellEnd"/>
        <w:r w:rsidRPr="0099160E">
          <w:rPr>
            <w:rFonts w:ascii="Century Gothic" w:eastAsia="Times New Roman" w:hAnsi="Century Gothic" w:cs="Arial"/>
            <w:color w:val="333333"/>
            <w:sz w:val="16"/>
            <w:szCs w:val="16"/>
            <w:u w:val="single"/>
            <w:lang w:eastAsia="de-CH"/>
          </w:rPr>
          <w:t xml:space="preserve"> Emmet Livingstone, «The EU milk </w:t>
        </w:r>
        <w:proofErr w:type="spellStart"/>
        <w:r w:rsidRPr="0099160E">
          <w:rPr>
            <w:rFonts w:ascii="Century Gothic" w:eastAsia="Times New Roman" w:hAnsi="Century Gothic" w:cs="Arial"/>
            <w:color w:val="333333"/>
            <w:sz w:val="16"/>
            <w:szCs w:val="16"/>
            <w:u w:val="single"/>
            <w:lang w:eastAsia="de-CH"/>
          </w:rPr>
          <w:t>lookalike</w:t>
        </w:r>
        <w:proofErr w:type="spellEnd"/>
        <w:r w:rsidRPr="0099160E">
          <w:rPr>
            <w:rFonts w:ascii="Century Gothic" w:eastAsia="Times New Roman" w:hAnsi="Century Gothic" w:cs="Arial"/>
            <w:color w:val="333333"/>
            <w:sz w:val="16"/>
            <w:szCs w:val="16"/>
            <w:u w:val="single"/>
            <w:lang w:eastAsia="de-CH"/>
          </w:rPr>
          <w:t xml:space="preserve"> </w:t>
        </w:r>
        <w:proofErr w:type="spellStart"/>
        <w:r w:rsidRPr="0099160E">
          <w:rPr>
            <w:rFonts w:ascii="Century Gothic" w:eastAsia="Times New Roman" w:hAnsi="Century Gothic" w:cs="Arial"/>
            <w:color w:val="333333"/>
            <w:sz w:val="16"/>
            <w:szCs w:val="16"/>
            <w:u w:val="single"/>
            <w:lang w:eastAsia="de-CH"/>
          </w:rPr>
          <w:t>that</w:t>
        </w:r>
        <w:proofErr w:type="spellEnd"/>
        <w:r w:rsidRPr="0099160E">
          <w:rPr>
            <w:rFonts w:ascii="Century Gothic" w:eastAsia="Times New Roman" w:hAnsi="Century Gothic" w:cs="Arial"/>
            <w:color w:val="333333"/>
            <w:sz w:val="16"/>
            <w:szCs w:val="16"/>
            <w:u w:val="single"/>
            <w:lang w:eastAsia="de-CH"/>
          </w:rPr>
          <w:t xml:space="preserve"> </w:t>
        </w:r>
        <w:proofErr w:type="spellStart"/>
        <w:r w:rsidRPr="0099160E">
          <w:rPr>
            <w:rFonts w:ascii="Century Gothic" w:eastAsia="Times New Roman" w:hAnsi="Century Gothic" w:cs="Arial"/>
            <w:color w:val="333333"/>
            <w:sz w:val="16"/>
            <w:szCs w:val="16"/>
            <w:u w:val="single"/>
            <w:lang w:eastAsia="de-CH"/>
          </w:rPr>
          <w:t>is</w:t>
        </w:r>
        <w:proofErr w:type="spellEnd"/>
        <w:r w:rsidRPr="0099160E">
          <w:rPr>
            <w:rFonts w:ascii="Century Gothic" w:eastAsia="Times New Roman" w:hAnsi="Century Gothic" w:cs="Arial"/>
            <w:color w:val="333333"/>
            <w:sz w:val="16"/>
            <w:szCs w:val="16"/>
            <w:u w:val="single"/>
            <w:lang w:eastAsia="de-CH"/>
          </w:rPr>
          <w:t xml:space="preserve"> </w:t>
        </w:r>
        <w:proofErr w:type="spellStart"/>
        <w:r w:rsidRPr="0099160E">
          <w:rPr>
            <w:rFonts w:ascii="Century Gothic" w:eastAsia="Times New Roman" w:hAnsi="Century Gothic" w:cs="Arial"/>
            <w:color w:val="333333"/>
            <w:sz w:val="16"/>
            <w:szCs w:val="16"/>
            <w:u w:val="single"/>
            <w:lang w:eastAsia="de-CH"/>
          </w:rPr>
          <w:t>devastation</w:t>
        </w:r>
        <w:proofErr w:type="spellEnd"/>
        <w:r w:rsidRPr="0099160E">
          <w:rPr>
            <w:rFonts w:ascii="Century Gothic" w:eastAsia="Times New Roman" w:hAnsi="Century Gothic" w:cs="Arial"/>
            <w:color w:val="333333"/>
            <w:sz w:val="16"/>
            <w:szCs w:val="16"/>
            <w:u w:val="single"/>
            <w:lang w:eastAsia="de-CH"/>
          </w:rPr>
          <w:t xml:space="preserve"> West </w:t>
        </w:r>
        <w:proofErr w:type="spellStart"/>
        <w:r w:rsidRPr="0099160E">
          <w:rPr>
            <w:rFonts w:ascii="Century Gothic" w:eastAsia="Times New Roman" w:hAnsi="Century Gothic" w:cs="Arial"/>
            <w:color w:val="333333"/>
            <w:sz w:val="16"/>
            <w:szCs w:val="16"/>
            <w:u w:val="single"/>
            <w:lang w:eastAsia="de-CH"/>
          </w:rPr>
          <w:t>Africa’sdiary</w:t>
        </w:r>
        <w:proofErr w:type="spellEnd"/>
        <w:r w:rsidRPr="0099160E">
          <w:rPr>
            <w:rFonts w:ascii="Century Gothic" w:eastAsia="Times New Roman" w:hAnsi="Century Gothic" w:cs="Arial"/>
            <w:color w:val="333333"/>
            <w:sz w:val="16"/>
            <w:szCs w:val="16"/>
            <w:u w:val="single"/>
            <w:lang w:eastAsia="de-CH"/>
          </w:rPr>
          <w:t xml:space="preserve"> </w:t>
        </w:r>
        <w:proofErr w:type="spellStart"/>
        <w:r w:rsidRPr="0099160E">
          <w:rPr>
            <w:rFonts w:ascii="Century Gothic" w:eastAsia="Times New Roman" w:hAnsi="Century Gothic" w:cs="Arial"/>
            <w:color w:val="333333"/>
            <w:sz w:val="16"/>
            <w:szCs w:val="16"/>
            <w:u w:val="single"/>
            <w:lang w:eastAsia="de-CH"/>
          </w:rPr>
          <w:t>sector</w:t>
        </w:r>
        <w:proofErr w:type="spellEnd"/>
        <w:r w:rsidRPr="0099160E">
          <w:rPr>
            <w:rFonts w:ascii="Century Gothic" w:eastAsia="Times New Roman" w:hAnsi="Century Gothic" w:cs="Arial"/>
            <w:color w:val="333333"/>
            <w:sz w:val="16"/>
            <w:szCs w:val="16"/>
            <w:u w:val="single"/>
            <w:lang w:eastAsia="de-CH"/>
          </w:rPr>
          <w:t>»</w:t>
        </w:r>
      </w:hyperlink>
      <w:r w:rsidRPr="0099160E">
        <w:rPr>
          <w:rFonts w:ascii="Century Gothic" w:eastAsia="Times New Roman" w:hAnsi="Century Gothic" w:cs="Arial"/>
          <w:color w:val="868686"/>
          <w:sz w:val="16"/>
          <w:szCs w:val="16"/>
          <w:lang w:eastAsia="de-CH"/>
        </w:rPr>
        <w:t>, in: Politico, 13.8.20</w:t>
      </w:r>
    </w:p>
    <w:p w14:paraId="13B4D2BE" w14:textId="432132E6" w:rsidR="0099160E" w:rsidRDefault="0099160E" w:rsidP="0099160E">
      <w:pPr>
        <w:spacing w:before="150" w:after="150" w:line="180" w:lineRule="atLeast"/>
        <w:jc w:val="both"/>
        <w:rPr>
          <w:rFonts w:ascii="Century Gothic" w:eastAsia="Times New Roman" w:hAnsi="Century Gothic" w:cs="Arial"/>
          <w:color w:val="868686"/>
          <w:sz w:val="16"/>
          <w:szCs w:val="16"/>
          <w:lang w:eastAsia="de-CH"/>
        </w:rPr>
      </w:pPr>
    </w:p>
    <w:p w14:paraId="6BAA7CBE" w14:textId="77777777" w:rsidR="00717500" w:rsidRDefault="00717500" w:rsidP="0099160E">
      <w:pPr>
        <w:spacing w:before="150" w:after="150" w:line="180" w:lineRule="atLeast"/>
        <w:jc w:val="both"/>
        <w:rPr>
          <w:rFonts w:ascii="Century Gothic" w:eastAsia="Times New Roman" w:hAnsi="Century Gothic" w:cs="Arial"/>
          <w:color w:val="868686"/>
          <w:sz w:val="16"/>
          <w:szCs w:val="16"/>
          <w:lang w:eastAsia="de-CH"/>
        </w:rPr>
      </w:pPr>
    </w:p>
    <w:p w14:paraId="43F67230" w14:textId="720BCA26" w:rsidR="00717500" w:rsidRPr="0099160E" w:rsidRDefault="00717500" w:rsidP="0099160E">
      <w:pPr>
        <w:spacing w:before="150" w:after="150" w:line="180" w:lineRule="atLeast"/>
        <w:jc w:val="both"/>
        <w:rPr>
          <w:rFonts w:ascii="Century Gothic" w:eastAsia="Times New Roman" w:hAnsi="Century Gothic" w:cs="Arial"/>
          <w:b/>
          <w:bCs/>
          <w:sz w:val="20"/>
          <w:szCs w:val="20"/>
          <w:lang w:eastAsia="de-CH"/>
        </w:rPr>
      </w:pPr>
      <w:r w:rsidRPr="00717500">
        <w:rPr>
          <w:rFonts w:ascii="Century Gothic" w:eastAsia="Times New Roman" w:hAnsi="Century Gothic" w:cs="Arial"/>
          <w:b/>
          <w:bCs/>
          <w:sz w:val="20"/>
          <w:szCs w:val="20"/>
          <w:lang w:eastAsia="de-CH"/>
        </w:rPr>
        <w:t>Aufträge</w:t>
      </w:r>
    </w:p>
    <w:p w14:paraId="6939070E" w14:textId="77777777" w:rsidR="00717500" w:rsidRDefault="0099160E" w:rsidP="00717500">
      <w:pPr>
        <w:numPr>
          <w:ilvl w:val="0"/>
          <w:numId w:val="1"/>
        </w:numPr>
        <w:spacing w:before="100" w:beforeAutospacing="1" w:after="100" w:afterAutospacing="1"/>
        <w:jc w:val="both"/>
        <w:rPr>
          <w:rFonts w:ascii="Century Gothic" w:eastAsia="Times New Roman" w:hAnsi="Century Gothic" w:cs="Arial"/>
          <w:color w:val="333333"/>
          <w:sz w:val="20"/>
          <w:szCs w:val="20"/>
          <w:lang w:eastAsia="de-CH"/>
        </w:rPr>
      </w:pPr>
      <w:r w:rsidRPr="0099160E">
        <w:rPr>
          <w:rFonts w:ascii="Century Gothic" w:eastAsia="Times New Roman" w:hAnsi="Century Gothic" w:cs="Arial"/>
          <w:color w:val="333333"/>
          <w:sz w:val="20"/>
          <w:szCs w:val="20"/>
          <w:lang w:eastAsia="de-CH"/>
        </w:rPr>
        <w:t xml:space="preserve">Fassen Sie wichtige Sachzusammenhänge aus dem Text zusammen, indem Sie die Wenn-dann-Formel anwenden. Notieren Sie mindestens </w:t>
      </w:r>
      <w:r>
        <w:rPr>
          <w:rFonts w:ascii="Century Gothic" w:eastAsia="Times New Roman" w:hAnsi="Century Gothic" w:cs="Arial"/>
          <w:color w:val="333333"/>
          <w:sz w:val="20"/>
          <w:szCs w:val="20"/>
          <w:lang w:eastAsia="de-CH"/>
        </w:rPr>
        <w:t>vier</w:t>
      </w:r>
      <w:r w:rsidRPr="0099160E">
        <w:rPr>
          <w:rFonts w:ascii="Century Gothic" w:eastAsia="Times New Roman" w:hAnsi="Century Gothic" w:cs="Arial"/>
          <w:color w:val="333333"/>
          <w:sz w:val="20"/>
          <w:szCs w:val="20"/>
          <w:lang w:eastAsia="de-CH"/>
        </w:rPr>
        <w:t xml:space="preserve"> Sätze.</w:t>
      </w:r>
    </w:p>
    <w:p w14:paraId="60124577" w14:textId="6DF9C19F" w:rsidR="00717500" w:rsidRDefault="0099160E" w:rsidP="00BD3630">
      <w:pPr>
        <w:spacing w:before="100" w:beforeAutospacing="1" w:after="0" w:line="600" w:lineRule="auto"/>
        <w:ind w:left="720"/>
        <w:jc w:val="both"/>
        <w:rPr>
          <w:rFonts w:ascii="Century Gothic" w:eastAsia="Times New Roman" w:hAnsi="Century Gothic" w:cs="Arial"/>
          <w:color w:val="333333"/>
          <w:sz w:val="20"/>
          <w:szCs w:val="20"/>
          <w:lang w:eastAsia="de-CH"/>
        </w:rPr>
      </w:pPr>
      <w:r>
        <w:rPr>
          <w:rFonts w:ascii="Century Gothic" w:eastAsia="Times New Roman" w:hAnsi="Century Gothic" w:cs="Arial"/>
          <w:color w:val="333333"/>
          <w:sz w:val="20"/>
          <w:szCs w:val="20"/>
          <w:lang w:eastAsia="de-CH"/>
        </w:rPr>
        <w:t xml:space="preserve">Angaben zur </w:t>
      </w:r>
      <w:hyperlink r:id="rId12" w:tgtFrame="_blank" w:history="1">
        <w:r w:rsidRPr="0099160E">
          <w:rPr>
            <w:rFonts w:ascii="Century Gothic" w:eastAsia="Times New Roman" w:hAnsi="Century Gothic" w:cs="Arial"/>
            <w:color w:val="333333"/>
            <w:sz w:val="20"/>
            <w:szCs w:val="20"/>
            <w:lang w:eastAsia="de-CH"/>
          </w:rPr>
          <w:t xml:space="preserve">«Wenn-dann-Formel» </w:t>
        </w:r>
        <w:r>
          <w:rPr>
            <w:rFonts w:ascii="Century Gothic" w:eastAsia="Times New Roman" w:hAnsi="Century Gothic" w:cs="Arial"/>
            <w:color w:val="333333"/>
            <w:sz w:val="20"/>
            <w:szCs w:val="20"/>
            <w:lang w:eastAsia="de-CH"/>
          </w:rPr>
          <w:t>finden</w:t>
        </w:r>
      </w:hyperlink>
      <w:r>
        <w:rPr>
          <w:rFonts w:ascii="Century Gothic" w:eastAsia="Times New Roman" w:hAnsi="Century Gothic" w:cs="Arial"/>
          <w:color w:val="333333"/>
          <w:sz w:val="20"/>
          <w:szCs w:val="20"/>
          <w:lang w:eastAsia="de-CH"/>
        </w:rPr>
        <w:t xml:space="preserve"> Sie auf dem Zusatzblatt.</w:t>
      </w:r>
    </w:p>
    <w:p w14:paraId="5A0495EB" w14:textId="77777777" w:rsidR="003F1D68" w:rsidRDefault="0099160E" w:rsidP="003F1D68">
      <w:pPr>
        <w:numPr>
          <w:ilvl w:val="0"/>
          <w:numId w:val="1"/>
        </w:numPr>
        <w:spacing w:before="300"/>
        <w:jc w:val="both"/>
        <w:rPr>
          <w:rFonts w:ascii="Century Gothic" w:eastAsia="Times New Roman" w:hAnsi="Century Gothic" w:cs="Arial"/>
          <w:color w:val="333333"/>
          <w:sz w:val="20"/>
          <w:szCs w:val="20"/>
          <w:lang w:eastAsia="de-CH"/>
        </w:rPr>
      </w:pPr>
      <w:r w:rsidRPr="0099160E">
        <w:rPr>
          <w:rFonts w:ascii="Century Gothic" w:eastAsia="Times New Roman" w:hAnsi="Century Gothic" w:cs="Arial"/>
          <w:color w:val="333333"/>
          <w:sz w:val="20"/>
          <w:szCs w:val="20"/>
          <w:lang w:eastAsia="de-CH"/>
        </w:rPr>
        <w:t>Bilden Sie zwei Gruppen. Die eine Gruppe vertritt die europäischen Milchbauern, die andere die afrikanischen Milchbäuerinnen. Versetzen Sie sich in die Lage der jeweiligen Gruppen. Recherchieren Sie falls nötig zusätzliche Inhalte.</w:t>
      </w:r>
    </w:p>
    <w:p w14:paraId="00E5E90F" w14:textId="73CB518D" w:rsidR="00717500" w:rsidRPr="003F1D68" w:rsidRDefault="0099160E" w:rsidP="003F1D68">
      <w:pPr>
        <w:spacing w:before="300"/>
        <w:ind w:left="720"/>
        <w:jc w:val="both"/>
        <w:rPr>
          <w:rFonts w:ascii="Century Gothic" w:eastAsia="Times New Roman" w:hAnsi="Century Gothic" w:cs="Arial"/>
          <w:color w:val="333333"/>
          <w:sz w:val="20"/>
          <w:szCs w:val="20"/>
          <w:lang w:eastAsia="de-CH"/>
        </w:rPr>
      </w:pPr>
      <w:r w:rsidRPr="0099160E">
        <w:rPr>
          <w:rFonts w:ascii="Century Gothic" w:eastAsia="Times New Roman" w:hAnsi="Century Gothic" w:cs="Arial"/>
          <w:color w:val="333333"/>
          <w:sz w:val="20"/>
          <w:szCs w:val="20"/>
          <w:lang w:eastAsia="de-CH"/>
        </w:rPr>
        <w:t>Debattieren Sie zum Thema, zeigen Sie wichtige Argumente für «Ihre» Position auf. Halten Sie sich dabei an die Strategien im Instrument Sprecherwechsel und nutzen Sie die Wenn-dann-Formulierungen aus Auftrag 1.</w:t>
      </w:r>
    </w:p>
    <w:p w14:paraId="25A18E4A" w14:textId="0F2AA651" w:rsidR="0099160E" w:rsidRPr="0099160E" w:rsidRDefault="0099160E" w:rsidP="00717500">
      <w:pPr>
        <w:spacing w:before="300"/>
        <w:ind w:left="720"/>
        <w:jc w:val="both"/>
        <w:rPr>
          <w:rFonts w:ascii="Century Gothic" w:eastAsia="Times New Roman" w:hAnsi="Century Gothic" w:cs="Arial"/>
          <w:color w:val="333333"/>
          <w:sz w:val="20"/>
          <w:szCs w:val="20"/>
          <w:lang w:eastAsia="de-CH"/>
        </w:rPr>
      </w:pPr>
      <w:hyperlink r:id="rId13" w:tgtFrame="_blank" w:history="1">
        <w:r w:rsidR="00717500" w:rsidRPr="00717500">
          <w:rPr>
            <w:rFonts w:ascii="Century Gothic" w:eastAsia="Times New Roman" w:hAnsi="Century Gothic" w:cs="Arial"/>
            <w:color w:val="333333"/>
            <w:sz w:val="20"/>
            <w:szCs w:val="20"/>
            <w:lang w:eastAsia="de-CH"/>
          </w:rPr>
          <w:t xml:space="preserve">Angaben zum </w:t>
        </w:r>
        <w:r w:rsidRPr="0099160E">
          <w:rPr>
            <w:rFonts w:ascii="Century Gothic" w:eastAsia="Times New Roman" w:hAnsi="Century Gothic" w:cs="Arial"/>
            <w:color w:val="333333"/>
            <w:sz w:val="20"/>
            <w:szCs w:val="20"/>
            <w:lang w:eastAsia="de-CH"/>
          </w:rPr>
          <w:t xml:space="preserve">Instrument «Sprecherwechsel» </w:t>
        </w:r>
        <w:r w:rsidR="00717500" w:rsidRPr="00717500">
          <w:rPr>
            <w:rFonts w:ascii="Century Gothic" w:eastAsia="Times New Roman" w:hAnsi="Century Gothic" w:cs="Arial"/>
            <w:color w:val="333333"/>
            <w:sz w:val="20"/>
            <w:szCs w:val="20"/>
            <w:lang w:eastAsia="de-CH"/>
          </w:rPr>
          <w:t>finden</w:t>
        </w:r>
      </w:hyperlink>
      <w:r w:rsidR="00717500" w:rsidRPr="00717500">
        <w:rPr>
          <w:rFonts w:ascii="Century Gothic" w:eastAsia="Times New Roman" w:hAnsi="Century Gothic" w:cs="Arial"/>
          <w:color w:val="333333"/>
          <w:sz w:val="20"/>
          <w:szCs w:val="20"/>
          <w:lang w:eastAsia="de-CH"/>
        </w:rPr>
        <w:t xml:space="preserve"> Sie auf dem Zusatzblatt.</w:t>
      </w:r>
    </w:p>
    <w:p w14:paraId="1A4898A3" w14:textId="77777777" w:rsidR="003E331C" w:rsidRPr="0099160E" w:rsidRDefault="003E331C">
      <w:pPr>
        <w:rPr>
          <w:rFonts w:ascii="Century Gothic" w:hAnsi="Century Gothic"/>
          <w:sz w:val="20"/>
          <w:szCs w:val="20"/>
        </w:rPr>
      </w:pPr>
    </w:p>
    <w:sectPr w:rsidR="003E331C" w:rsidRPr="0099160E" w:rsidSect="0099160E">
      <w:headerReference w:type="default" r:id="rId14"/>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B424" w14:textId="77777777" w:rsidR="00D73A2C" w:rsidRDefault="00D73A2C" w:rsidP="0099160E">
      <w:pPr>
        <w:spacing w:after="0" w:line="240" w:lineRule="auto"/>
      </w:pPr>
      <w:r>
        <w:separator/>
      </w:r>
    </w:p>
  </w:endnote>
  <w:endnote w:type="continuationSeparator" w:id="0">
    <w:p w14:paraId="18EBDB01" w14:textId="77777777" w:rsidR="00D73A2C" w:rsidRDefault="00D73A2C" w:rsidP="0099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A2D7" w14:textId="53E48FB0" w:rsidR="00717500" w:rsidRPr="00717500" w:rsidRDefault="00717500" w:rsidP="00717500">
    <w:pPr>
      <w:pStyle w:val="Fuzeile"/>
      <w:pBdr>
        <w:top w:val="single" w:sz="4" w:space="1" w:color="auto"/>
      </w:pBdr>
      <w:rPr>
        <w:sz w:val="16"/>
        <w:szCs w:val="16"/>
      </w:rPr>
    </w:pPr>
    <w:proofErr w:type="spellStart"/>
    <w:r w:rsidRPr="00717500">
      <w:rPr>
        <w:sz w:val="16"/>
        <w:szCs w:val="16"/>
      </w:rPr>
      <w:t>Myskillbox</w:t>
    </w:r>
    <w:proofErr w:type="spellEnd"/>
    <w:r w:rsidRPr="00717500">
      <w:rPr>
        <w:sz w:val="16"/>
        <w:szCs w:val="16"/>
      </w:rPr>
      <w:t>/</w:t>
    </w:r>
    <w:proofErr w:type="spellStart"/>
    <w:r w:rsidRPr="00717500">
      <w:rPr>
        <w:sz w:val="16"/>
        <w:szCs w:val="16"/>
      </w:rPr>
      <w:t>cpsch</w:t>
    </w:r>
    <w:proofErr w:type="spellEnd"/>
    <w:r>
      <w:rPr>
        <w:sz w:val="16"/>
        <w:szCs w:val="16"/>
      </w:rPr>
      <w:tab/>
    </w:r>
    <w:r>
      <w:rPr>
        <w:sz w:val="16"/>
        <w:szCs w:val="16"/>
      </w:rPr>
      <w:tab/>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2</w:t>
    </w:r>
    <w:r>
      <w:rPr>
        <w:sz w:val="16"/>
        <w:szCs w:val="16"/>
      </w:rPr>
      <w:fldChar w:fldCharType="end"/>
    </w:r>
  </w:p>
  <w:p w14:paraId="241D3F44" w14:textId="77777777" w:rsidR="00717500" w:rsidRDefault="007175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6B10" w14:textId="77777777" w:rsidR="00D73A2C" w:rsidRDefault="00D73A2C" w:rsidP="0099160E">
      <w:pPr>
        <w:spacing w:after="0" w:line="240" w:lineRule="auto"/>
      </w:pPr>
      <w:r>
        <w:separator/>
      </w:r>
    </w:p>
  </w:footnote>
  <w:footnote w:type="continuationSeparator" w:id="0">
    <w:p w14:paraId="3500F558" w14:textId="77777777" w:rsidR="00D73A2C" w:rsidRDefault="00D73A2C" w:rsidP="0099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0E5E" w14:textId="01B4F69F" w:rsidR="0099160E" w:rsidRDefault="0099160E">
    <w:pPr>
      <w:pStyle w:val="Kopfzeile"/>
      <w:rPr>
        <w:rFonts w:ascii="Century Gothic" w:hAnsi="Century Gothic"/>
        <w:b/>
        <w:bCs/>
        <w:sz w:val="16"/>
        <w:szCs w:val="16"/>
      </w:rPr>
    </w:pPr>
    <w:r>
      <w:rPr>
        <w:rFonts w:ascii="Century Gothic" w:hAnsi="Century Gothic"/>
        <w:b/>
        <w:bCs/>
        <w:sz w:val="16"/>
        <w:szCs w:val="16"/>
      </w:rPr>
      <w:t xml:space="preserve">GIBS Freiburg </w:t>
    </w:r>
    <w:r>
      <w:rPr>
        <w:rFonts w:ascii="Century Gothic" w:hAnsi="Century Gothic"/>
        <w:b/>
        <w:bCs/>
        <w:sz w:val="16"/>
        <w:szCs w:val="16"/>
      </w:rPr>
      <w:tab/>
    </w:r>
    <w:r>
      <w:rPr>
        <w:rFonts w:ascii="Century Gothic" w:hAnsi="Century Gothic"/>
        <w:b/>
        <w:bCs/>
        <w:sz w:val="16"/>
        <w:szCs w:val="16"/>
      </w:rPr>
      <w:tab/>
      <w:t>Gesellschaft</w:t>
    </w:r>
  </w:p>
  <w:p w14:paraId="1665E996" w14:textId="157E5DF6" w:rsidR="0099160E" w:rsidRDefault="0099160E">
    <w:pPr>
      <w:pStyle w:val="Kopfzeile"/>
      <w:rPr>
        <w:rFonts w:ascii="Century Gothic" w:hAnsi="Century Gothic"/>
        <w:sz w:val="16"/>
        <w:szCs w:val="16"/>
      </w:rPr>
    </w:pPr>
    <w:r>
      <w:rPr>
        <w:rFonts w:ascii="Century Gothic" w:hAnsi="Century Gothic"/>
        <w:sz w:val="16"/>
        <w:szCs w:val="16"/>
      </w:rPr>
      <w:t>Allgemeinbildung</w:t>
    </w:r>
    <w:r>
      <w:rPr>
        <w:rFonts w:ascii="Century Gothic" w:hAnsi="Century Gothic"/>
        <w:sz w:val="16"/>
        <w:szCs w:val="16"/>
      </w:rPr>
      <w:tab/>
    </w:r>
    <w:r>
      <w:rPr>
        <w:rFonts w:ascii="Century Gothic" w:hAnsi="Century Gothic"/>
        <w:sz w:val="16"/>
        <w:szCs w:val="16"/>
      </w:rPr>
      <w:tab/>
      <w:t>Politik</w:t>
    </w:r>
  </w:p>
  <w:p w14:paraId="1A338D4A" w14:textId="77777777" w:rsidR="0099160E" w:rsidRPr="0099160E" w:rsidRDefault="0099160E" w:rsidP="0099160E">
    <w:pPr>
      <w:pStyle w:val="Kopfzeile"/>
      <w:pBdr>
        <w:bottom w:val="single" w:sz="4" w:space="1" w:color="auto"/>
      </w:pBdr>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42733"/>
    <w:multiLevelType w:val="multilevel"/>
    <w:tmpl w:val="F36409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0E"/>
    <w:rsid w:val="003E331C"/>
    <w:rsid w:val="003F1D68"/>
    <w:rsid w:val="00434453"/>
    <w:rsid w:val="00717500"/>
    <w:rsid w:val="0099160E"/>
    <w:rsid w:val="00BD3630"/>
    <w:rsid w:val="00D4149B"/>
    <w:rsid w:val="00D73A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3C51"/>
  <w15:chartTrackingRefBased/>
  <w15:docId w15:val="{F241F72C-407F-4645-B206-F1E3964C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16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160E"/>
  </w:style>
  <w:style w:type="paragraph" w:styleId="Fuzeile">
    <w:name w:val="footer"/>
    <w:basedOn w:val="Standard"/>
    <w:link w:val="FuzeileZchn"/>
    <w:uiPriority w:val="99"/>
    <w:unhideWhenUsed/>
    <w:rsid w:val="009916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9097">
      <w:bodyDiv w:val="1"/>
      <w:marLeft w:val="0"/>
      <w:marRight w:val="0"/>
      <w:marTop w:val="0"/>
      <w:marBottom w:val="0"/>
      <w:divBdr>
        <w:top w:val="none" w:sz="0" w:space="0" w:color="auto"/>
        <w:left w:val="none" w:sz="0" w:space="0" w:color="auto"/>
        <w:bottom w:val="none" w:sz="0" w:space="0" w:color="auto"/>
        <w:right w:val="none" w:sz="0" w:space="0" w:color="auto"/>
      </w:divBdr>
    </w:div>
    <w:div w:id="619185956">
      <w:bodyDiv w:val="1"/>
      <w:marLeft w:val="0"/>
      <w:marRight w:val="0"/>
      <w:marTop w:val="0"/>
      <w:marBottom w:val="0"/>
      <w:divBdr>
        <w:top w:val="none" w:sz="0" w:space="0" w:color="auto"/>
        <w:left w:val="none" w:sz="0" w:space="0" w:color="auto"/>
        <w:bottom w:val="none" w:sz="0" w:space="0" w:color="auto"/>
        <w:right w:val="none" w:sz="0" w:space="0" w:color="auto"/>
      </w:divBdr>
      <w:divsChild>
        <w:div w:id="1566644080">
          <w:marLeft w:val="0"/>
          <w:marRight w:val="0"/>
          <w:marTop w:val="0"/>
          <w:marBottom w:val="0"/>
          <w:divBdr>
            <w:top w:val="none" w:sz="0" w:space="0" w:color="auto"/>
            <w:left w:val="none" w:sz="0" w:space="0" w:color="auto"/>
            <w:bottom w:val="none" w:sz="0" w:space="0" w:color="auto"/>
            <w:right w:val="none" w:sz="0" w:space="0" w:color="auto"/>
          </w:divBdr>
          <w:divsChild>
            <w:div w:id="2041398576">
              <w:marLeft w:val="0"/>
              <w:marRight w:val="0"/>
              <w:marTop w:val="0"/>
              <w:marBottom w:val="0"/>
              <w:divBdr>
                <w:top w:val="none" w:sz="0" w:space="0" w:color="auto"/>
                <w:left w:val="none" w:sz="0" w:space="0" w:color="auto"/>
                <w:bottom w:val="none" w:sz="0" w:space="0" w:color="auto"/>
                <w:right w:val="none" w:sz="0" w:space="0" w:color="auto"/>
              </w:divBdr>
              <w:divsChild>
                <w:div w:id="121922900">
                  <w:marLeft w:val="0"/>
                  <w:marRight w:val="0"/>
                  <w:marTop w:val="0"/>
                  <w:marBottom w:val="0"/>
                  <w:divBdr>
                    <w:top w:val="none" w:sz="0" w:space="0" w:color="auto"/>
                    <w:left w:val="none" w:sz="0" w:space="0" w:color="auto"/>
                    <w:bottom w:val="none" w:sz="0" w:space="0" w:color="auto"/>
                    <w:right w:val="none" w:sz="0" w:space="0" w:color="auto"/>
                  </w:divBdr>
                  <w:divsChild>
                    <w:div w:id="8959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1205">
          <w:marLeft w:val="0"/>
          <w:marRight w:val="0"/>
          <w:marTop w:val="0"/>
          <w:marBottom w:val="0"/>
          <w:divBdr>
            <w:top w:val="none" w:sz="0" w:space="0" w:color="auto"/>
            <w:left w:val="none" w:sz="0" w:space="0" w:color="auto"/>
            <w:bottom w:val="none" w:sz="0" w:space="0" w:color="auto"/>
            <w:right w:val="none" w:sz="0" w:space="0" w:color="auto"/>
          </w:divBdr>
          <w:divsChild>
            <w:div w:id="1856459201">
              <w:marLeft w:val="0"/>
              <w:marRight w:val="0"/>
              <w:marTop w:val="0"/>
              <w:marBottom w:val="0"/>
              <w:divBdr>
                <w:top w:val="none" w:sz="0" w:space="0" w:color="auto"/>
                <w:left w:val="none" w:sz="0" w:space="0" w:color="auto"/>
                <w:bottom w:val="none" w:sz="0" w:space="0" w:color="auto"/>
                <w:right w:val="none" w:sz="0" w:space="0" w:color="auto"/>
              </w:divBdr>
              <w:divsChild>
                <w:div w:id="5984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8603">
          <w:marLeft w:val="0"/>
          <w:marRight w:val="0"/>
          <w:marTop w:val="0"/>
          <w:marBottom w:val="0"/>
          <w:divBdr>
            <w:top w:val="none" w:sz="0" w:space="0" w:color="auto"/>
            <w:left w:val="none" w:sz="0" w:space="0" w:color="auto"/>
            <w:bottom w:val="none" w:sz="0" w:space="0" w:color="auto"/>
            <w:right w:val="none" w:sz="0" w:space="0" w:color="auto"/>
          </w:divBdr>
          <w:divsChild>
            <w:div w:id="302388841">
              <w:marLeft w:val="0"/>
              <w:marRight w:val="0"/>
              <w:marTop w:val="0"/>
              <w:marBottom w:val="0"/>
              <w:divBdr>
                <w:top w:val="none" w:sz="0" w:space="0" w:color="auto"/>
                <w:left w:val="none" w:sz="0" w:space="0" w:color="auto"/>
                <w:bottom w:val="none" w:sz="0" w:space="0" w:color="auto"/>
                <w:right w:val="none" w:sz="0" w:space="0" w:color="auto"/>
              </w:divBdr>
              <w:divsChild>
                <w:div w:id="1760832966">
                  <w:marLeft w:val="0"/>
                  <w:marRight w:val="0"/>
                  <w:marTop w:val="0"/>
                  <w:marBottom w:val="0"/>
                  <w:divBdr>
                    <w:top w:val="none" w:sz="0" w:space="0" w:color="auto"/>
                    <w:left w:val="none" w:sz="0" w:space="0" w:color="auto"/>
                    <w:bottom w:val="none" w:sz="0" w:space="0" w:color="auto"/>
                    <w:right w:val="none" w:sz="0" w:space="0" w:color="auto"/>
                  </w:divBdr>
                  <w:divsChild>
                    <w:div w:id="448474498">
                      <w:marLeft w:val="0"/>
                      <w:marRight w:val="0"/>
                      <w:marTop w:val="300"/>
                      <w:marBottom w:val="300"/>
                      <w:divBdr>
                        <w:top w:val="none" w:sz="0" w:space="0" w:color="auto"/>
                        <w:left w:val="none" w:sz="0" w:space="0" w:color="auto"/>
                        <w:bottom w:val="single" w:sz="6" w:space="11" w:color="D0D0D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ockphoto.com/de/foto/frau-arbeiter-portr%C3%A4t-in-der-modernen-farm-gm944690318-258051672" TargetMode="External"/><Relationship Id="rId13" Type="http://schemas.openxmlformats.org/officeDocument/2006/relationships/hyperlink" Target="https://app.myskillbox.ch/instrument/sprecherwechsel-diskussionen-das-wort-ergreifen-und-wieder-abgeb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p.myskillbox.ch/instrument/wenn-dann-form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tico.eu/interactive/the-eu-milk-lookalike-that-is-devastating-west-africas-dairy-secto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e.wikipedia.org/wiki/Palm%C3%B6l" TargetMode="External"/><Relationship Id="rId4" Type="http://schemas.openxmlformats.org/officeDocument/2006/relationships/webSettings" Target="webSettings.xml"/><Relationship Id="rId9" Type="http://schemas.openxmlformats.org/officeDocument/2006/relationships/hyperlink" Target="https://de.wikipedia.org/wiki/Burkina_Faso"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Perler Claudia</dc:creator>
  <cp:keywords/>
  <dc:description/>
  <cp:lastModifiedBy>Perler Claudia</cp:lastModifiedBy>
  <cp:revision>3</cp:revision>
  <cp:lastPrinted>2021-09-03T08:37:00Z</cp:lastPrinted>
  <dcterms:created xsi:type="dcterms:W3CDTF">2021-09-03T08:19:00Z</dcterms:created>
  <dcterms:modified xsi:type="dcterms:W3CDTF">2021-09-03T08:38:00Z</dcterms:modified>
</cp:coreProperties>
</file>