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B757C" w14:textId="49C0A617" w:rsidR="00BF6876" w:rsidRPr="00F11C66" w:rsidRDefault="00BF6876" w:rsidP="00AF0070">
      <w:pPr>
        <w:spacing w:after="0" w:line="240" w:lineRule="auto"/>
        <w:jc w:val="both"/>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11C66">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Neu im 2020</w:t>
      </w:r>
      <w:r w:rsidR="0097304A">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 Bund und Kanton</w:t>
      </w:r>
    </w:p>
    <w:p w14:paraId="3D707434" w14:textId="2F1510B7" w:rsidR="00BF6876" w:rsidRPr="00EB552D" w:rsidRDefault="00BF6876" w:rsidP="00AF0070">
      <w:pPr>
        <w:spacing w:after="0" w:line="240" w:lineRule="auto"/>
        <w:jc w:val="both"/>
        <w:rPr>
          <w:sz w:val="21"/>
          <w:szCs w:val="21"/>
        </w:rPr>
      </w:pPr>
      <w:r w:rsidRPr="00EB552D">
        <w:rPr>
          <w:sz w:val="21"/>
          <w:szCs w:val="21"/>
        </w:rPr>
        <w:t>Am 1. Januar treten zahlreiche neue Regeln in Kraft</w:t>
      </w:r>
      <w:r w:rsidR="00AF0070" w:rsidRPr="00EB552D">
        <w:rPr>
          <w:sz w:val="21"/>
          <w:szCs w:val="21"/>
        </w:rPr>
        <w:t xml:space="preserve">. </w:t>
      </w:r>
      <w:r w:rsidRPr="00EB552D">
        <w:rPr>
          <w:sz w:val="21"/>
          <w:szCs w:val="21"/>
        </w:rPr>
        <w:t xml:space="preserve">Das sind die die wichtigsten Neuerungen von </w:t>
      </w:r>
      <w:r w:rsidRPr="00EB552D">
        <w:rPr>
          <w:b/>
          <w:bCs/>
          <w:sz w:val="21"/>
          <w:szCs w:val="21"/>
        </w:rPr>
        <w:t>A wie AHV</w:t>
      </w:r>
      <w:r w:rsidRPr="00EB552D">
        <w:rPr>
          <w:sz w:val="21"/>
          <w:szCs w:val="21"/>
        </w:rPr>
        <w:t xml:space="preserve"> bis </w:t>
      </w:r>
      <w:r w:rsidRPr="00EB552D">
        <w:rPr>
          <w:b/>
          <w:bCs/>
          <w:sz w:val="21"/>
          <w:szCs w:val="21"/>
        </w:rPr>
        <w:t>V wie Verjährung</w:t>
      </w:r>
      <w:r w:rsidRPr="00EB552D">
        <w:rPr>
          <w:sz w:val="21"/>
          <w:szCs w:val="21"/>
        </w:rPr>
        <w:t>:</w:t>
      </w:r>
    </w:p>
    <w:p w14:paraId="1E26BF84" w14:textId="77777777" w:rsidR="00BF6876" w:rsidRPr="00EB552D" w:rsidRDefault="00BF6876" w:rsidP="00AF0070">
      <w:pPr>
        <w:spacing w:after="0" w:line="240" w:lineRule="auto"/>
        <w:jc w:val="both"/>
        <w:rPr>
          <w:sz w:val="21"/>
          <w:szCs w:val="21"/>
        </w:rPr>
      </w:pPr>
    </w:p>
    <w:p w14:paraId="4F8DEF83" w14:textId="77777777" w:rsidR="00BF6876" w:rsidRPr="00EB552D" w:rsidRDefault="00BF6876" w:rsidP="00AF0070">
      <w:pPr>
        <w:spacing w:after="0" w:line="240" w:lineRule="auto"/>
        <w:jc w:val="both"/>
        <w:rPr>
          <w:b/>
          <w:bCs/>
          <w:color w:val="FF0000"/>
          <w:sz w:val="21"/>
          <w:szCs w:val="21"/>
        </w:rPr>
      </w:pPr>
      <w:r w:rsidRPr="00EB552D">
        <w:rPr>
          <w:b/>
          <w:bCs/>
          <w:color w:val="FF0000"/>
          <w:sz w:val="21"/>
          <w:szCs w:val="21"/>
          <w:highlight w:val="yellow"/>
        </w:rPr>
        <w:t>AHV</w:t>
      </w:r>
    </w:p>
    <w:p w14:paraId="132A5626" w14:textId="13CF6F8B" w:rsidR="00BF6876" w:rsidRPr="00EB552D" w:rsidRDefault="00BF6876" w:rsidP="00AF0070">
      <w:pPr>
        <w:spacing w:after="0" w:line="240" w:lineRule="auto"/>
        <w:jc w:val="both"/>
        <w:rPr>
          <w:color w:val="333333"/>
          <w:spacing w:val="3"/>
          <w:sz w:val="21"/>
          <w:szCs w:val="21"/>
          <w:shd w:val="clear" w:color="auto" w:fill="FFFFFF"/>
        </w:rPr>
      </w:pPr>
      <w:r w:rsidRPr="00EB552D">
        <w:rPr>
          <w:sz w:val="21"/>
          <w:szCs w:val="21"/>
        </w:rPr>
        <w:t xml:space="preserve">Im Mai 2019 hat das Stimmvolk die AHV-Steuervorlage an der Urne angenommen. In der Folge steigt der </w:t>
      </w:r>
      <w:r w:rsidRPr="00EB552D">
        <w:rPr>
          <w:b/>
          <w:bCs/>
          <w:sz w:val="21"/>
          <w:szCs w:val="21"/>
        </w:rPr>
        <w:t>AHV-Beitragssatz um 0,3 Prozentpunkte</w:t>
      </w:r>
      <w:r w:rsidR="00517ED2" w:rsidRPr="00EB552D">
        <w:rPr>
          <w:b/>
          <w:bCs/>
          <w:sz w:val="21"/>
          <w:szCs w:val="21"/>
        </w:rPr>
        <w:t xml:space="preserve"> </w:t>
      </w:r>
      <w:r w:rsidR="00517ED2" w:rsidRPr="00EB552D">
        <w:rPr>
          <w:sz w:val="21"/>
          <w:szCs w:val="21"/>
        </w:rPr>
        <w:t>und zwar von 8,4</w:t>
      </w:r>
      <w:r w:rsidR="00517ED2" w:rsidRPr="00EB552D">
        <w:rPr>
          <w:b/>
          <w:bCs/>
          <w:sz w:val="21"/>
          <w:szCs w:val="21"/>
        </w:rPr>
        <w:t xml:space="preserve"> </w:t>
      </w:r>
      <w:r w:rsidR="00517ED2" w:rsidRPr="00EB552D">
        <w:rPr>
          <w:b/>
          <w:bCs/>
          <w:sz w:val="21"/>
          <w:szCs w:val="21"/>
          <w:highlight w:val="yellow"/>
        </w:rPr>
        <w:t>auf 8,7 Prozent</w:t>
      </w:r>
      <w:r w:rsidRPr="00EB552D">
        <w:rPr>
          <w:sz w:val="21"/>
          <w:szCs w:val="21"/>
        </w:rPr>
        <w:t>. Die Beiträge werden je zur Hälfte von Arbeitnehmenden und Arbeitgebenden getragen.</w:t>
      </w:r>
      <w:r w:rsidR="005F18A6" w:rsidRPr="00EB552D">
        <w:rPr>
          <w:color w:val="333333"/>
          <w:spacing w:val="3"/>
          <w:sz w:val="21"/>
          <w:szCs w:val="21"/>
          <w:shd w:val="clear" w:color="auto" w:fill="FFFFFF"/>
        </w:rPr>
        <w:t xml:space="preserve">  Für </w:t>
      </w:r>
      <w:r w:rsidR="005F18A6" w:rsidRPr="00EB552D">
        <w:rPr>
          <w:b/>
          <w:bCs/>
          <w:color w:val="333333"/>
          <w:spacing w:val="3"/>
          <w:sz w:val="21"/>
          <w:szCs w:val="21"/>
          <w:shd w:val="clear" w:color="auto" w:fill="FFFFFF"/>
        </w:rPr>
        <w:t>Nichterwerbstätige</w:t>
      </w:r>
      <w:r w:rsidR="005F18A6" w:rsidRPr="00EB552D">
        <w:rPr>
          <w:color w:val="333333"/>
          <w:spacing w:val="3"/>
          <w:sz w:val="21"/>
          <w:szCs w:val="21"/>
          <w:shd w:val="clear" w:color="auto" w:fill="FFFFFF"/>
        </w:rPr>
        <w:t xml:space="preserve"> wird der AHV/IV/EO-Mindestbeitrag von 482 auf </w:t>
      </w:r>
      <w:r w:rsidR="005F18A6" w:rsidRPr="00EB552D">
        <w:rPr>
          <w:b/>
          <w:bCs/>
          <w:color w:val="333333"/>
          <w:spacing w:val="3"/>
          <w:sz w:val="21"/>
          <w:szCs w:val="21"/>
          <w:highlight w:val="yellow"/>
          <w:shd w:val="clear" w:color="auto" w:fill="FFFFFF"/>
        </w:rPr>
        <w:t>496 Franken</w:t>
      </w:r>
      <w:r w:rsidR="005F18A6" w:rsidRPr="00EB552D">
        <w:rPr>
          <w:color w:val="333333"/>
          <w:spacing w:val="3"/>
          <w:sz w:val="21"/>
          <w:szCs w:val="21"/>
          <w:highlight w:val="yellow"/>
          <w:shd w:val="clear" w:color="auto" w:fill="FFFFFF"/>
        </w:rPr>
        <w:t xml:space="preserve"> pro Jahr</w:t>
      </w:r>
      <w:r w:rsidR="005F18A6" w:rsidRPr="00EB552D">
        <w:rPr>
          <w:color w:val="333333"/>
          <w:spacing w:val="3"/>
          <w:sz w:val="21"/>
          <w:szCs w:val="21"/>
          <w:shd w:val="clear" w:color="auto" w:fill="FFFFFF"/>
        </w:rPr>
        <w:t xml:space="preserve"> erhöht, der Höchstbeitrag von 24 100 Franken </w:t>
      </w:r>
      <w:r w:rsidR="005F18A6" w:rsidRPr="00EB552D">
        <w:rPr>
          <w:color w:val="333333"/>
          <w:spacing w:val="3"/>
          <w:sz w:val="21"/>
          <w:szCs w:val="21"/>
          <w:highlight w:val="yellow"/>
          <w:shd w:val="clear" w:color="auto" w:fill="FFFFFF"/>
        </w:rPr>
        <w:t xml:space="preserve">auf </w:t>
      </w:r>
      <w:r w:rsidR="005F18A6" w:rsidRPr="00EB552D">
        <w:rPr>
          <w:b/>
          <w:bCs/>
          <w:color w:val="333333"/>
          <w:spacing w:val="3"/>
          <w:sz w:val="21"/>
          <w:szCs w:val="21"/>
          <w:highlight w:val="yellow"/>
          <w:shd w:val="clear" w:color="auto" w:fill="FFFFFF"/>
        </w:rPr>
        <w:t>24 800 Franken</w:t>
      </w:r>
      <w:r w:rsidR="005F18A6" w:rsidRPr="00EB552D">
        <w:rPr>
          <w:color w:val="333333"/>
          <w:spacing w:val="3"/>
          <w:sz w:val="21"/>
          <w:szCs w:val="21"/>
          <w:shd w:val="clear" w:color="auto" w:fill="FFFFFF"/>
        </w:rPr>
        <w:t>.</w:t>
      </w:r>
    </w:p>
    <w:p w14:paraId="17F6DDF9" w14:textId="77777777" w:rsidR="00E56802" w:rsidRPr="00EB552D" w:rsidRDefault="00E56802" w:rsidP="00AF0070">
      <w:pPr>
        <w:spacing w:after="0" w:line="240" w:lineRule="auto"/>
        <w:jc w:val="both"/>
        <w:rPr>
          <w:sz w:val="21"/>
          <w:szCs w:val="21"/>
        </w:rPr>
      </w:pPr>
    </w:p>
    <w:p w14:paraId="5294FD59" w14:textId="77777777" w:rsidR="00E56802" w:rsidRPr="00EB552D" w:rsidRDefault="00E56802" w:rsidP="00AF0070">
      <w:pPr>
        <w:spacing w:after="0" w:line="240" w:lineRule="auto"/>
        <w:jc w:val="both"/>
        <w:rPr>
          <w:b/>
          <w:bCs/>
          <w:sz w:val="21"/>
          <w:szCs w:val="21"/>
        </w:rPr>
      </w:pPr>
      <w:r w:rsidRPr="00EB552D">
        <w:rPr>
          <w:b/>
          <w:bCs/>
          <w:sz w:val="21"/>
          <w:szCs w:val="21"/>
        </w:rPr>
        <w:t>ANLEGERSCHUTZ</w:t>
      </w:r>
    </w:p>
    <w:p w14:paraId="38C81CEB" w14:textId="3EE0565C" w:rsidR="00E56802" w:rsidRPr="00EB552D" w:rsidRDefault="00E56802" w:rsidP="00AF0070">
      <w:pPr>
        <w:spacing w:after="0" w:line="240" w:lineRule="auto"/>
        <w:jc w:val="both"/>
        <w:rPr>
          <w:sz w:val="21"/>
          <w:szCs w:val="21"/>
        </w:rPr>
      </w:pPr>
      <w:r w:rsidRPr="00EB552D">
        <w:rPr>
          <w:sz w:val="21"/>
          <w:szCs w:val="21"/>
        </w:rPr>
        <w:t>Der Anlegerschutz wird punktuell verbessert. Mit dem Finanzdienstleistungsgesetz wird geregelt, wie Kundinnen und Kunden über Finanzinstrumente informiert werden müssen. Mit dem Finanzinstitutsgesetz werden neu auch die unabhängigen Vermögensverwalter einer Aufsicht unterstellt.</w:t>
      </w:r>
    </w:p>
    <w:p w14:paraId="3F5DD5A6" w14:textId="77777777" w:rsidR="004F25C1" w:rsidRPr="00EB552D" w:rsidRDefault="004F25C1" w:rsidP="00AF0070">
      <w:pPr>
        <w:spacing w:after="0" w:line="240" w:lineRule="auto"/>
        <w:jc w:val="both"/>
        <w:rPr>
          <w:sz w:val="21"/>
          <w:szCs w:val="21"/>
        </w:rPr>
      </w:pPr>
    </w:p>
    <w:p w14:paraId="5EE88B9B" w14:textId="77777777" w:rsidR="004F25C1" w:rsidRPr="00EB552D" w:rsidRDefault="004F25C1" w:rsidP="00AF0070">
      <w:pPr>
        <w:spacing w:after="0" w:line="240" w:lineRule="auto"/>
        <w:jc w:val="both"/>
        <w:rPr>
          <w:sz w:val="21"/>
          <w:szCs w:val="21"/>
        </w:rPr>
      </w:pPr>
      <w:r w:rsidRPr="00EB552D">
        <w:rPr>
          <w:b/>
          <w:bCs/>
          <w:sz w:val="21"/>
          <w:szCs w:val="21"/>
        </w:rPr>
        <w:t>ARMEE</w:t>
      </w:r>
    </w:p>
    <w:p w14:paraId="1A40B159" w14:textId="77777777" w:rsidR="004F25C1" w:rsidRPr="00EB552D" w:rsidRDefault="004F25C1" w:rsidP="00AF0070">
      <w:pPr>
        <w:spacing w:after="0" w:line="240" w:lineRule="auto"/>
        <w:jc w:val="both"/>
        <w:rPr>
          <w:sz w:val="21"/>
          <w:szCs w:val="21"/>
        </w:rPr>
      </w:pPr>
      <w:r w:rsidRPr="00EB552D">
        <w:rPr>
          <w:sz w:val="21"/>
          <w:szCs w:val="21"/>
        </w:rPr>
        <w:t xml:space="preserve">In </w:t>
      </w:r>
      <w:r w:rsidRPr="00EB552D">
        <w:rPr>
          <w:b/>
          <w:bCs/>
          <w:sz w:val="21"/>
          <w:szCs w:val="21"/>
        </w:rPr>
        <w:t xml:space="preserve">Notfällen </w:t>
      </w:r>
      <w:r w:rsidRPr="00EB552D">
        <w:rPr>
          <w:sz w:val="21"/>
          <w:szCs w:val="21"/>
        </w:rPr>
        <w:t xml:space="preserve">kann die Armee </w:t>
      </w:r>
      <w:r w:rsidRPr="00EB552D">
        <w:rPr>
          <w:b/>
          <w:bCs/>
          <w:sz w:val="21"/>
          <w:szCs w:val="21"/>
        </w:rPr>
        <w:t>zivile Behörden und Private rascher und einfacher</w:t>
      </w:r>
      <w:r w:rsidRPr="00EB552D">
        <w:rPr>
          <w:sz w:val="21"/>
          <w:szCs w:val="21"/>
        </w:rPr>
        <w:t xml:space="preserve"> unterstützen. Unter anderem werden die hohen Anforderungen an die Haftpflichtversicherung gesenkt, die bisher für die Nutzung von Helikoptern gegolten haben.</w:t>
      </w:r>
    </w:p>
    <w:p w14:paraId="27311140" w14:textId="77777777" w:rsidR="00E56802" w:rsidRPr="00EB552D" w:rsidRDefault="00E56802" w:rsidP="00AF0070">
      <w:pPr>
        <w:spacing w:after="0" w:line="240" w:lineRule="auto"/>
        <w:jc w:val="both"/>
        <w:rPr>
          <w:sz w:val="21"/>
          <w:szCs w:val="21"/>
        </w:rPr>
      </w:pPr>
    </w:p>
    <w:p w14:paraId="1D4CA635" w14:textId="77777777" w:rsidR="00E56802" w:rsidRPr="00EB552D" w:rsidRDefault="00E56802" w:rsidP="00AF0070">
      <w:pPr>
        <w:spacing w:after="0" w:line="240" w:lineRule="auto"/>
        <w:jc w:val="both"/>
        <w:rPr>
          <w:b/>
          <w:bCs/>
          <w:color w:val="FF0000"/>
          <w:sz w:val="21"/>
          <w:szCs w:val="21"/>
        </w:rPr>
      </w:pPr>
      <w:r w:rsidRPr="00EB552D">
        <w:rPr>
          <w:b/>
          <w:bCs/>
          <w:color w:val="FF0000"/>
          <w:sz w:val="21"/>
          <w:szCs w:val="21"/>
          <w:highlight w:val="yellow"/>
        </w:rPr>
        <w:t>BUSSEN</w:t>
      </w:r>
    </w:p>
    <w:p w14:paraId="2090FBF3" w14:textId="77777777" w:rsidR="00E56802" w:rsidRPr="00EB552D" w:rsidRDefault="00E56802" w:rsidP="00AF0070">
      <w:pPr>
        <w:spacing w:after="0" w:line="240" w:lineRule="auto"/>
        <w:jc w:val="both"/>
        <w:rPr>
          <w:sz w:val="21"/>
          <w:szCs w:val="21"/>
        </w:rPr>
      </w:pPr>
      <w:r w:rsidRPr="00EB552D">
        <w:rPr>
          <w:b/>
          <w:bCs/>
          <w:sz w:val="21"/>
          <w:szCs w:val="21"/>
        </w:rPr>
        <w:t>Ordnungsbussen</w:t>
      </w:r>
      <w:r w:rsidRPr="00EB552D">
        <w:rPr>
          <w:sz w:val="21"/>
          <w:szCs w:val="21"/>
        </w:rPr>
        <w:t xml:space="preserve"> sind künftig auch ausserhalb des Strassenverkehrs möglich. </w:t>
      </w:r>
      <w:r w:rsidRPr="00EB552D">
        <w:rPr>
          <w:b/>
          <w:bCs/>
          <w:sz w:val="21"/>
          <w:szCs w:val="21"/>
        </w:rPr>
        <w:t>Beispiele für Verstösse</w:t>
      </w:r>
      <w:r w:rsidRPr="00EB552D">
        <w:rPr>
          <w:sz w:val="21"/>
          <w:szCs w:val="21"/>
        </w:rPr>
        <w:t xml:space="preserve">, die im Ordnungsbussenverfahren geahndet werden können, sind das </w:t>
      </w:r>
      <w:r w:rsidRPr="00EB552D">
        <w:rPr>
          <w:b/>
          <w:bCs/>
          <w:sz w:val="21"/>
          <w:szCs w:val="21"/>
        </w:rPr>
        <w:t>Rauchen in öffentlichen Räumen, Cannabis-Konsum, Telefonieren auf dem Velo</w:t>
      </w:r>
      <w:r w:rsidRPr="00EB552D">
        <w:rPr>
          <w:sz w:val="21"/>
          <w:szCs w:val="21"/>
        </w:rPr>
        <w:t xml:space="preserve"> oder der </w:t>
      </w:r>
      <w:r w:rsidRPr="00EB552D">
        <w:rPr>
          <w:b/>
          <w:bCs/>
          <w:sz w:val="21"/>
          <w:szCs w:val="21"/>
        </w:rPr>
        <w:t>unsachgemässe Transport von Waffen</w:t>
      </w:r>
      <w:r w:rsidRPr="00EB552D">
        <w:rPr>
          <w:sz w:val="21"/>
          <w:szCs w:val="21"/>
        </w:rPr>
        <w:t xml:space="preserve">. Die </w:t>
      </w:r>
      <w:r w:rsidRPr="00EB552D">
        <w:rPr>
          <w:b/>
          <w:bCs/>
          <w:sz w:val="21"/>
          <w:szCs w:val="21"/>
        </w:rPr>
        <w:t>maximale Höhe</w:t>
      </w:r>
      <w:r w:rsidRPr="00EB552D">
        <w:rPr>
          <w:sz w:val="21"/>
          <w:szCs w:val="21"/>
        </w:rPr>
        <w:t xml:space="preserve"> der Busse beträgt </w:t>
      </w:r>
      <w:r w:rsidRPr="00EB552D">
        <w:rPr>
          <w:b/>
          <w:bCs/>
          <w:sz w:val="21"/>
          <w:szCs w:val="21"/>
        </w:rPr>
        <w:t>300 Franken</w:t>
      </w:r>
      <w:r w:rsidRPr="00EB552D">
        <w:rPr>
          <w:sz w:val="21"/>
          <w:szCs w:val="21"/>
        </w:rPr>
        <w:t>.</w:t>
      </w:r>
    </w:p>
    <w:p w14:paraId="700A3830" w14:textId="77777777" w:rsidR="00E56802" w:rsidRPr="00EB552D" w:rsidRDefault="00E56802" w:rsidP="00AF0070">
      <w:pPr>
        <w:spacing w:after="0" w:line="240" w:lineRule="auto"/>
        <w:jc w:val="both"/>
        <w:rPr>
          <w:sz w:val="21"/>
          <w:szCs w:val="21"/>
        </w:rPr>
      </w:pPr>
    </w:p>
    <w:p w14:paraId="531A7AF4" w14:textId="77777777" w:rsidR="00E56802" w:rsidRPr="00EB552D" w:rsidRDefault="00E56802" w:rsidP="00AF0070">
      <w:pPr>
        <w:spacing w:after="0" w:line="240" w:lineRule="auto"/>
        <w:jc w:val="both"/>
        <w:rPr>
          <w:b/>
          <w:bCs/>
          <w:sz w:val="21"/>
          <w:szCs w:val="21"/>
        </w:rPr>
      </w:pPr>
      <w:r w:rsidRPr="00EB552D">
        <w:rPr>
          <w:b/>
          <w:bCs/>
          <w:sz w:val="21"/>
          <w:szCs w:val="21"/>
        </w:rPr>
        <w:t>BODENPOLITIK</w:t>
      </w:r>
    </w:p>
    <w:p w14:paraId="39EBC3AC" w14:textId="77777777" w:rsidR="00E56802" w:rsidRPr="00EB552D" w:rsidRDefault="00E56802" w:rsidP="00AF0070">
      <w:pPr>
        <w:spacing w:after="0" w:line="240" w:lineRule="auto"/>
        <w:jc w:val="both"/>
        <w:rPr>
          <w:sz w:val="21"/>
          <w:szCs w:val="21"/>
        </w:rPr>
      </w:pPr>
      <w:r w:rsidRPr="00EB552D">
        <w:rPr>
          <w:sz w:val="21"/>
          <w:szCs w:val="21"/>
        </w:rPr>
        <w:t>Eines der der wichtigen neuen Gesetze betrifft die Bodenpolitik. Das neue Gesetz soll helfen, die Freiburger Wirtschaft anzukurbeln. Dafür wurde eine neue kantonale Anstalt ins Leben gerufen und ein Fonds geschaffen, der über 100 Millionen Franken enthält. Dieser ermöglicht dem Kanton, freie Grundstücke zu kaufen und diese der Wirtschaft zur Verfügung zu stellen.</w:t>
      </w:r>
    </w:p>
    <w:p w14:paraId="24BE7FF1" w14:textId="77777777" w:rsidR="00E56802" w:rsidRPr="00EB552D" w:rsidRDefault="00E56802" w:rsidP="00AF0070">
      <w:pPr>
        <w:spacing w:after="0" w:line="240" w:lineRule="auto"/>
        <w:jc w:val="both"/>
        <w:rPr>
          <w:sz w:val="21"/>
          <w:szCs w:val="21"/>
        </w:rPr>
      </w:pPr>
    </w:p>
    <w:p w14:paraId="3B3F0DF4" w14:textId="77777777" w:rsidR="00E56802" w:rsidRPr="00EB552D" w:rsidRDefault="00E56802" w:rsidP="00AF0070">
      <w:pPr>
        <w:spacing w:after="0" w:line="240" w:lineRule="auto"/>
        <w:jc w:val="both"/>
        <w:rPr>
          <w:b/>
          <w:bCs/>
          <w:color w:val="FF0000"/>
          <w:sz w:val="21"/>
          <w:szCs w:val="21"/>
        </w:rPr>
      </w:pPr>
      <w:r w:rsidRPr="00EB552D">
        <w:rPr>
          <w:b/>
          <w:bCs/>
          <w:color w:val="FF0000"/>
          <w:sz w:val="21"/>
          <w:szCs w:val="21"/>
          <w:highlight w:val="yellow"/>
        </w:rPr>
        <w:t>BOOTE</w:t>
      </w:r>
    </w:p>
    <w:p w14:paraId="7D071577" w14:textId="77777777" w:rsidR="00E56802" w:rsidRPr="00EB552D" w:rsidRDefault="00E56802" w:rsidP="00AF0070">
      <w:pPr>
        <w:spacing w:after="0" w:line="240" w:lineRule="auto"/>
        <w:jc w:val="both"/>
        <w:rPr>
          <w:sz w:val="21"/>
          <w:szCs w:val="21"/>
        </w:rPr>
      </w:pPr>
      <w:r w:rsidRPr="00EB552D">
        <w:rPr>
          <w:sz w:val="21"/>
          <w:szCs w:val="21"/>
        </w:rPr>
        <w:t xml:space="preserve">Die </w:t>
      </w:r>
      <w:r w:rsidRPr="00EB552D">
        <w:rPr>
          <w:b/>
          <w:bCs/>
          <w:sz w:val="21"/>
          <w:szCs w:val="21"/>
        </w:rPr>
        <w:t>Promillegrenze für Gummibootfahrer wird aufgehoben</w:t>
      </w:r>
      <w:r w:rsidRPr="00EB552D">
        <w:rPr>
          <w:sz w:val="21"/>
          <w:szCs w:val="21"/>
        </w:rPr>
        <w:t xml:space="preserve">. Diese war erst vor sechs Jahren eingeführt worden. Grund für die Aufhebung ist, dass die Freizeitkapitäne kaum kontrolliert werden können. Weiterhin gilt aber, dass das </w:t>
      </w:r>
      <w:r w:rsidRPr="00EB552D">
        <w:rPr>
          <w:b/>
          <w:bCs/>
          <w:sz w:val="21"/>
          <w:szCs w:val="21"/>
        </w:rPr>
        <w:t>Boot nur von fahrtüchtigen Personen gesteuert</w:t>
      </w:r>
      <w:r w:rsidRPr="00EB552D">
        <w:rPr>
          <w:sz w:val="21"/>
          <w:szCs w:val="21"/>
        </w:rPr>
        <w:t xml:space="preserve"> werden darf. Der Zustand muss im Einzelfall abgeklärt werden.</w:t>
      </w:r>
    </w:p>
    <w:p w14:paraId="275954EE" w14:textId="77777777" w:rsidR="00E56802" w:rsidRPr="00EB552D" w:rsidRDefault="00E56802" w:rsidP="00AF0070">
      <w:pPr>
        <w:spacing w:after="0" w:line="240" w:lineRule="auto"/>
        <w:jc w:val="both"/>
        <w:rPr>
          <w:b/>
          <w:bCs/>
          <w:sz w:val="21"/>
          <w:szCs w:val="21"/>
        </w:rPr>
      </w:pPr>
    </w:p>
    <w:p w14:paraId="59EC7AA4" w14:textId="3FF14E65" w:rsidR="00E56802" w:rsidRPr="00EB552D" w:rsidRDefault="00E56802" w:rsidP="00AF0070">
      <w:pPr>
        <w:spacing w:after="0" w:line="240" w:lineRule="auto"/>
        <w:jc w:val="both"/>
        <w:rPr>
          <w:b/>
          <w:bCs/>
          <w:sz w:val="21"/>
          <w:szCs w:val="21"/>
        </w:rPr>
      </w:pPr>
      <w:r w:rsidRPr="00EB552D">
        <w:rPr>
          <w:b/>
          <w:bCs/>
          <w:sz w:val="21"/>
          <w:szCs w:val="21"/>
        </w:rPr>
        <w:t>CO2</w:t>
      </w:r>
    </w:p>
    <w:p w14:paraId="6029D586" w14:textId="77777777" w:rsidR="00E56802" w:rsidRPr="00EB552D" w:rsidRDefault="00E56802" w:rsidP="00AF0070">
      <w:pPr>
        <w:spacing w:after="0" w:line="240" w:lineRule="auto"/>
        <w:jc w:val="both"/>
        <w:rPr>
          <w:sz w:val="21"/>
          <w:szCs w:val="21"/>
        </w:rPr>
      </w:pPr>
      <w:r w:rsidRPr="00EB552D">
        <w:rPr>
          <w:sz w:val="21"/>
          <w:szCs w:val="21"/>
        </w:rPr>
        <w:t xml:space="preserve">Für Personenwagen gilt neu ein Zielwert von 95 Gramm CO2 pro Kilometer. Importeure, die diesen Durchschnittswert nicht erreichen, zahlen eine Sanktion. Für Autokäuferinnen und -käufer soll die </w:t>
      </w:r>
      <w:r w:rsidRPr="00EB552D">
        <w:rPr>
          <w:b/>
          <w:bCs/>
          <w:sz w:val="21"/>
          <w:szCs w:val="21"/>
        </w:rPr>
        <w:t>verbesserte Energieetikette für mehr Transparenz sorgen</w:t>
      </w:r>
      <w:r w:rsidRPr="00EB552D">
        <w:rPr>
          <w:sz w:val="21"/>
          <w:szCs w:val="21"/>
        </w:rPr>
        <w:t>. Der neue Zielwert muss darauf angegeben werden.</w:t>
      </w:r>
    </w:p>
    <w:p w14:paraId="76DE5395" w14:textId="77777777" w:rsidR="00EB552D" w:rsidRPr="00EB552D" w:rsidRDefault="00EB552D" w:rsidP="00AF0070">
      <w:pPr>
        <w:spacing w:after="0" w:line="240" w:lineRule="auto"/>
        <w:jc w:val="both"/>
        <w:rPr>
          <w:sz w:val="21"/>
          <w:szCs w:val="21"/>
        </w:rPr>
      </w:pPr>
    </w:p>
    <w:p w14:paraId="2659F1FB" w14:textId="77777777" w:rsidR="00BF6876" w:rsidRPr="00EB552D" w:rsidRDefault="00BF6876" w:rsidP="00AF0070">
      <w:pPr>
        <w:spacing w:after="0" w:line="240" w:lineRule="auto"/>
        <w:jc w:val="both"/>
        <w:rPr>
          <w:b/>
          <w:bCs/>
          <w:color w:val="FF0000"/>
          <w:sz w:val="21"/>
          <w:szCs w:val="21"/>
        </w:rPr>
      </w:pPr>
      <w:r w:rsidRPr="00EB552D">
        <w:rPr>
          <w:b/>
          <w:bCs/>
          <w:color w:val="FF0000"/>
          <w:sz w:val="21"/>
          <w:szCs w:val="21"/>
          <w:highlight w:val="yellow"/>
        </w:rPr>
        <w:t>GELD</w:t>
      </w:r>
    </w:p>
    <w:p w14:paraId="31EB3E08" w14:textId="296997FF" w:rsidR="004D6420" w:rsidRDefault="00BF6876" w:rsidP="00AF0070">
      <w:pPr>
        <w:spacing w:after="0" w:line="240" w:lineRule="auto"/>
        <w:jc w:val="both"/>
        <w:rPr>
          <w:sz w:val="21"/>
          <w:szCs w:val="21"/>
        </w:rPr>
      </w:pPr>
      <w:r w:rsidRPr="00EB552D">
        <w:rPr>
          <w:b/>
          <w:bCs/>
          <w:sz w:val="21"/>
          <w:szCs w:val="21"/>
        </w:rPr>
        <w:t>Alte Banknoten</w:t>
      </w:r>
      <w:r w:rsidRPr="00EB552D">
        <w:rPr>
          <w:sz w:val="21"/>
          <w:szCs w:val="21"/>
        </w:rPr>
        <w:t xml:space="preserve"> können </w:t>
      </w:r>
      <w:r w:rsidRPr="00EB552D">
        <w:rPr>
          <w:b/>
          <w:bCs/>
          <w:sz w:val="21"/>
          <w:szCs w:val="21"/>
        </w:rPr>
        <w:t>unbegrenzt lange eingetauscht</w:t>
      </w:r>
      <w:r w:rsidRPr="00EB552D">
        <w:rPr>
          <w:sz w:val="21"/>
          <w:szCs w:val="21"/>
        </w:rPr>
        <w:t xml:space="preserve"> werden und nicht nur während 20 Jahren wie bisher. Die neue Regelung gilt für </w:t>
      </w:r>
      <w:r w:rsidRPr="00EB552D">
        <w:rPr>
          <w:b/>
          <w:bCs/>
          <w:sz w:val="21"/>
          <w:szCs w:val="21"/>
        </w:rPr>
        <w:t>Banknoten ab der sechsten Serie</w:t>
      </w:r>
      <w:r w:rsidRPr="00EB552D">
        <w:rPr>
          <w:sz w:val="21"/>
          <w:szCs w:val="21"/>
        </w:rPr>
        <w:t xml:space="preserve">, die </w:t>
      </w:r>
      <w:r w:rsidRPr="00EB552D">
        <w:rPr>
          <w:b/>
          <w:bCs/>
          <w:sz w:val="21"/>
          <w:szCs w:val="21"/>
        </w:rPr>
        <w:t>1976</w:t>
      </w:r>
      <w:r w:rsidRPr="00EB552D">
        <w:rPr>
          <w:sz w:val="21"/>
          <w:szCs w:val="21"/>
        </w:rPr>
        <w:t xml:space="preserve"> ausgegeben wurde. Bisher konnten Noten während der Frist zwar noch bei der Nationalbank umgetauscht, aber nicht mehr für Zahlungen verwendet werden.</w:t>
      </w:r>
    </w:p>
    <w:p w14:paraId="52F8E2C9" w14:textId="312107FF" w:rsidR="000271EC" w:rsidRDefault="000271EC" w:rsidP="00AF0070">
      <w:pPr>
        <w:spacing w:after="0" w:line="240" w:lineRule="auto"/>
        <w:jc w:val="both"/>
        <w:rPr>
          <w:sz w:val="21"/>
          <w:szCs w:val="21"/>
        </w:rPr>
      </w:pPr>
    </w:p>
    <w:p w14:paraId="5B3C8658" w14:textId="77777777" w:rsidR="000271EC" w:rsidRDefault="000271EC" w:rsidP="00AF0070">
      <w:pPr>
        <w:spacing w:after="0" w:line="240" w:lineRule="auto"/>
        <w:jc w:val="both"/>
        <w:rPr>
          <w:sz w:val="21"/>
          <w:szCs w:val="21"/>
        </w:rPr>
      </w:pPr>
    </w:p>
    <w:p w14:paraId="1DB57B48" w14:textId="17A1B6B7" w:rsidR="00E56802" w:rsidRPr="004D6420" w:rsidRDefault="00E56802" w:rsidP="00AF0070">
      <w:pPr>
        <w:spacing w:after="0" w:line="240" w:lineRule="auto"/>
        <w:jc w:val="both"/>
        <w:rPr>
          <w:sz w:val="21"/>
          <w:szCs w:val="21"/>
        </w:rPr>
      </w:pPr>
      <w:r w:rsidRPr="00EB552D">
        <w:rPr>
          <w:b/>
          <w:bCs/>
          <w:sz w:val="21"/>
          <w:szCs w:val="21"/>
        </w:rPr>
        <w:lastRenderedPageBreak/>
        <w:t>ENERGIE</w:t>
      </w:r>
    </w:p>
    <w:p w14:paraId="56472BBB" w14:textId="77777777" w:rsidR="00E56802" w:rsidRPr="00EB552D" w:rsidRDefault="00E56802" w:rsidP="00AF0070">
      <w:pPr>
        <w:spacing w:after="0" w:line="240" w:lineRule="auto"/>
        <w:jc w:val="both"/>
        <w:rPr>
          <w:sz w:val="21"/>
          <w:szCs w:val="21"/>
        </w:rPr>
      </w:pPr>
      <w:r w:rsidRPr="00EB552D">
        <w:rPr>
          <w:sz w:val="21"/>
          <w:szCs w:val="21"/>
        </w:rPr>
        <w:t xml:space="preserve">Die </w:t>
      </w:r>
      <w:r w:rsidRPr="00EB552D">
        <w:rPr>
          <w:b/>
          <w:bCs/>
          <w:sz w:val="21"/>
          <w:szCs w:val="21"/>
        </w:rPr>
        <w:t>Vergütungssätze</w:t>
      </w:r>
      <w:r w:rsidRPr="00EB552D">
        <w:rPr>
          <w:sz w:val="21"/>
          <w:szCs w:val="21"/>
        </w:rPr>
        <w:t xml:space="preserve"> für Photovoltaikanlagen werden </w:t>
      </w:r>
      <w:r w:rsidRPr="00EB552D">
        <w:rPr>
          <w:b/>
          <w:bCs/>
          <w:sz w:val="21"/>
          <w:szCs w:val="21"/>
        </w:rPr>
        <w:t>reduziert</w:t>
      </w:r>
      <w:r w:rsidRPr="00EB552D">
        <w:rPr>
          <w:sz w:val="21"/>
          <w:szCs w:val="21"/>
        </w:rPr>
        <w:t xml:space="preserve">. Die </w:t>
      </w:r>
      <w:r w:rsidRPr="00EB552D">
        <w:rPr>
          <w:b/>
          <w:bCs/>
          <w:sz w:val="21"/>
          <w:szCs w:val="21"/>
        </w:rPr>
        <w:t>Einspeisevergütung sinkt auf 9 Rappen</w:t>
      </w:r>
      <w:r w:rsidRPr="00EB552D">
        <w:rPr>
          <w:sz w:val="21"/>
          <w:szCs w:val="21"/>
        </w:rPr>
        <w:t xml:space="preserve"> pro Kilowattstunde, der Grundbeitrag der Einmalvergütung von 1400 auf 1000 Franken. Damit macht der Bundesrat Gelder für einen rascheren Abbau der Wartelisten frei.</w:t>
      </w:r>
    </w:p>
    <w:p w14:paraId="03659614" w14:textId="206F9A32" w:rsidR="00E56802" w:rsidRPr="00EB552D" w:rsidRDefault="00E56802" w:rsidP="00AF0070">
      <w:pPr>
        <w:spacing w:after="0" w:line="240" w:lineRule="auto"/>
        <w:jc w:val="both"/>
        <w:rPr>
          <w:sz w:val="21"/>
          <w:szCs w:val="21"/>
        </w:rPr>
      </w:pPr>
      <w:r w:rsidRPr="00EB552D">
        <w:rPr>
          <w:sz w:val="21"/>
          <w:szCs w:val="21"/>
        </w:rPr>
        <w:t>Auch das neue Energiegesetzt ist zu erwähnen. Damit möchte der Kanton Freiburg bis 2030 zur 4'000-Watt-Gesellschaft gehören. Von nun an darf man nur noch dann eine neue Öl- und Gasheizung einbauen, wenn man dafür 30 Prozent des Wärmebedarfs durch erneuerbare Energien abdecken kann.</w:t>
      </w:r>
    </w:p>
    <w:p w14:paraId="747B30C0" w14:textId="77777777" w:rsidR="00E56802" w:rsidRPr="00EB552D" w:rsidRDefault="00E56802" w:rsidP="00AF0070">
      <w:pPr>
        <w:spacing w:after="0" w:line="240" w:lineRule="auto"/>
        <w:jc w:val="both"/>
        <w:rPr>
          <w:sz w:val="21"/>
          <w:szCs w:val="21"/>
        </w:rPr>
      </w:pPr>
    </w:p>
    <w:p w14:paraId="22ED4F60" w14:textId="77777777" w:rsidR="00E56802" w:rsidRPr="00EB552D" w:rsidRDefault="00E56802" w:rsidP="00AF0070">
      <w:pPr>
        <w:spacing w:after="0" w:line="240" w:lineRule="auto"/>
        <w:jc w:val="both"/>
        <w:rPr>
          <w:b/>
          <w:bCs/>
          <w:color w:val="FF0000"/>
          <w:sz w:val="21"/>
          <w:szCs w:val="21"/>
        </w:rPr>
      </w:pPr>
      <w:r w:rsidRPr="00EB552D">
        <w:rPr>
          <w:b/>
          <w:bCs/>
          <w:color w:val="FF0000"/>
          <w:sz w:val="21"/>
          <w:szCs w:val="21"/>
          <w:highlight w:val="yellow"/>
        </w:rPr>
        <w:t>EHE</w:t>
      </w:r>
    </w:p>
    <w:p w14:paraId="050AEBAC" w14:textId="6410DD58" w:rsidR="00E56802" w:rsidRPr="00EB552D" w:rsidRDefault="00E56802" w:rsidP="00AF0070">
      <w:pPr>
        <w:spacing w:after="0" w:line="240" w:lineRule="auto"/>
        <w:jc w:val="both"/>
        <w:rPr>
          <w:b/>
          <w:bCs/>
          <w:sz w:val="21"/>
          <w:szCs w:val="21"/>
        </w:rPr>
      </w:pPr>
      <w:r w:rsidRPr="00EB552D">
        <w:rPr>
          <w:sz w:val="21"/>
          <w:szCs w:val="21"/>
        </w:rPr>
        <w:t xml:space="preserve">Heiratswillige Brautleute stossen auf weniger bürokratische Hürden. Die </w:t>
      </w:r>
      <w:r w:rsidRPr="00EB552D">
        <w:rPr>
          <w:b/>
          <w:bCs/>
          <w:sz w:val="21"/>
          <w:szCs w:val="21"/>
        </w:rPr>
        <w:t>Wartefrist von zehn Tagen zwischen Ehevorbereitung und Trauung wird gestrichen</w:t>
      </w:r>
      <w:r w:rsidRPr="00EB552D">
        <w:rPr>
          <w:sz w:val="21"/>
          <w:szCs w:val="21"/>
        </w:rPr>
        <w:t xml:space="preserve">. Damit kann direkt nach dem positiven Abschluss des Ehevorbereitungsverfahrens eine Trauung durchgeführt werden. </w:t>
      </w:r>
      <w:r w:rsidRPr="00EB552D">
        <w:rPr>
          <w:b/>
          <w:bCs/>
          <w:sz w:val="21"/>
          <w:szCs w:val="21"/>
        </w:rPr>
        <w:t>An den Voraussetzungen für die Eheschliessung ändert sich nichts.</w:t>
      </w:r>
    </w:p>
    <w:p w14:paraId="76086097" w14:textId="77777777" w:rsidR="004F25C1" w:rsidRPr="00EB552D" w:rsidRDefault="004F25C1" w:rsidP="00AF0070">
      <w:pPr>
        <w:spacing w:after="0" w:line="240" w:lineRule="auto"/>
        <w:jc w:val="both"/>
        <w:rPr>
          <w:b/>
          <w:bCs/>
          <w:sz w:val="21"/>
          <w:szCs w:val="21"/>
        </w:rPr>
      </w:pPr>
    </w:p>
    <w:p w14:paraId="14B4FC4B" w14:textId="77777777" w:rsidR="004F25C1" w:rsidRPr="00EB552D" w:rsidRDefault="004F25C1" w:rsidP="00AF0070">
      <w:pPr>
        <w:spacing w:after="0" w:line="240" w:lineRule="auto"/>
        <w:jc w:val="both"/>
        <w:rPr>
          <w:sz w:val="21"/>
          <w:szCs w:val="21"/>
        </w:rPr>
      </w:pPr>
      <w:r w:rsidRPr="00EB552D">
        <w:rPr>
          <w:b/>
          <w:bCs/>
          <w:sz w:val="21"/>
          <w:szCs w:val="21"/>
        </w:rPr>
        <w:t>EIGENMITTEL</w:t>
      </w:r>
    </w:p>
    <w:p w14:paraId="7E3F78F9" w14:textId="77777777" w:rsidR="004F25C1" w:rsidRPr="00EB552D" w:rsidRDefault="004F25C1" w:rsidP="00AF0070">
      <w:pPr>
        <w:spacing w:after="0" w:line="240" w:lineRule="auto"/>
        <w:jc w:val="both"/>
        <w:rPr>
          <w:sz w:val="21"/>
          <w:szCs w:val="21"/>
        </w:rPr>
      </w:pPr>
      <w:r w:rsidRPr="00EB552D">
        <w:rPr>
          <w:sz w:val="21"/>
          <w:szCs w:val="21"/>
        </w:rPr>
        <w:t xml:space="preserve">Für Grossbanken gelten strengere Eigenmittelvorschriften. Für die UBS und die </w:t>
      </w:r>
      <w:proofErr w:type="spellStart"/>
      <w:r w:rsidRPr="00EB552D">
        <w:rPr>
          <w:sz w:val="21"/>
          <w:szCs w:val="21"/>
        </w:rPr>
        <w:t>Credit</w:t>
      </w:r>
      <w:proofErr w:type="spellEnd"/>
      <w:r w:rsidRPr="00EB552D">
        <w:rPr>
          <w:sz w:val="21"/>
          <w:szCs w:val="21"/>
        </w:rPr>
        <w:t xml:space="preserve"> Suisse beläuft sich der Mehrbedarf auf rund 24 Milliarden Franken. Kleine und besonders gut kapitalisierte Banken und Wertpapierhäuser profitieren von administrativen Vereinfachungen und Einsparungen.</w:t>
      </w:r>
    </w:p>
    <w:p w14:paraId="74FAB805" w14:textId="77777777" w:rsidR="004F25C1" w:rsidRPr="00EB552D" w:rsidRDefault="004F25C1" w:rsidP="00AF0070">
      <w:pPr>
        <w:spacing w:after="0" w:line="240" w:lineRule="auto"/>
        <w:jc w:val="both"/>
        <w:rPr>
          <w:b/>
          <w:bCs/>
          <w:sz w:val="21"/>
          <w:szCs w:val="21"/>
        </w:rPr>
      </w:pPr>
    </w:p>
    <w:p w14:paraId="6E4A696B" w14:textId="77777777" w:rsidR="004F25C1" w:rsidRPr="00EB552D" w:rsidRDefault="004F25C1" w:rsidP="00AF0070">
      <w:pPr>
        <w:spacing w:after="0" w:line="240" w:lineRule="auto"/>
        <w:jc w:val="both"/>
        <w:rPr>
          <w:sz w:val="21"/>
          <w:szCs w:val="21"/>
        </w:rPr>
      </w:pPr>
      <w:r w:rsidRPr="00EB552D">
        <w:rPr>
          <w:b/>
          <w:bCs/>
          <w:sz w:val="21"/>
          <w:szCs w:val="21"/>
        </w:rPr>
        <w:t>FINANZAUSGLEICH</w:t>
      </w:r>
    </w:p>
    <w:p w14:paraId="37BB131A" w14:textId="77777777" w:rsidR="004F25C1" w:rsidRPr="00EB552D" w:rsidRDefault="004F25C1" w:rsidP="00AF0070">
      <w:pPr>
        <w:spacing w:after="0" w:line="240" w:lineRule="auto"/>
        <w:jc w:val="both"/>
        <w:rPr>
          <w:sz w:val="21"/>
          <w:szCs w:val="21"/>
        </w:rPr>
      </w:pPr>
      <w:r w:rsidRPr="00EB552D">
        <w:rPr>
          <w:sz w:val="21"/>
          <w:szCs w:val="21"/>
        </w:rPr>
        <w:t xml:space="preserve">Der </w:t>
      </w:r>
      <w:r w:rsidRPr="00EB552D">
        <w:rPr>
          <w:b/>
          <w:bCs/>
          <w:sz w:val="21"/>
          <w:szCs w:val="21"/>
        </w:rPr>
        <w:t>Finanzausgleich wird schrittweise angepasst</w:t>
      </w:r>
      <w:r w:rsidRPr="00EB552D">
        <w:rPr>
          <w:sz w:val="21"/>
          <w:szCs w:val="21"/>
        </w:rPr>
        <w:t>. Grund dafür ist, dass die Nehmerkantone heute mehr Geld erhalten als ursprünglich geplant, während die Geberkantone zu viel bezahlen. Das wird nun teilweise korrigiert. Das Geld, das der Bund dabei einspart, wird auch in Zukunft für den Finanzausgleich eingesetzt.</w:t>
      </w:r>
    </w:p>
    <w:p w14:paraId="728F2018" w14:textId="77777777" w:rsidR="004F25C1" w:rsidRPr="00EB552D" w:rsidRDefault="004F25C1" w:rsidP="00AF0070">
      <w:pPr>
        <w:spacing w:after="0" w:line="240" w:lineRule="auto"/>
        <w:jc w:val="both"/>
        <w:rPr>
          <w:sz w:val="21"/>
          <w:szCs w:val="21"/>
        </w:rPr>
      </w:pPr>
    </w:p>
    <w:p w14:paraId="77CF2A62" w14:textId="77777777" w:rsidR="004F25C1" w:rsidRPr="00EB552D" w:rsidRDefault="004F25C1" w:rsidP="00AF0070">
      <w:pPr>
        <w:spacing w:after="0" w:line="240" w:lineRule="auto"/>
        <w:jc w:val="both"/>
        <w:rPr>
          <w:sz w:val="21"/>
          <w:szCs w:val="21"/>
        </w:rPr>
      </w:pPr>
      <w:r w:rsidRPr="00EB552D">
        <w:rPr>
          <w:b/>
          <w:bCs/>
          <w:sz w:val="21"/>
          <w:szCs w:val="21"/>
        </w:rPr>
        <w:t>FUNGIZID</w:t>
      </w:r>
    </w:p>
    <w:p w14:paraId="6199E092" w14:textId="153027DC" w:rsidR="004F25C1" w:rsidRPr="00EB552D" w:rsidRDefault="004F25C1" w:rsidP="00AF0070">
      <w:pPr>
        <w:spacing w:after="0" w:line="240" w:lineRule="auto"/>
        <w:jc w:val="both"/>
        <w:rPr>
          <w:sz w:val="21"/>
          <w:szCs w:val="21"/>
        </w:rPr>
      </w:pPr>
      <w:r w:rsidRPr="00EB552D">
        <w:rPr>
          <w:sz w:val="21"/>
          <w:szCs w:val="21"/>
        </w:rPr>
        <w:t xml:space="preserve">Das Fungizid </w:t>
      </w:r>
      <w:proofErr w:type="spellStart"/>
      <w:r w:rsidRPr="00EB552D">
        <w:rPr>
          <w:sz w:val="21"/>
          <w:szCs w:val="21"/>
        </w:rPr>
        <w:t>Chlorothalonil</w:t>
      </w:r>
      <w:proofErr w:type="spellEnd"/>
      <w:r w:rsidRPr="00EB552D">
        <w:rPr>
          <w:sz w:val="21"/>
          <w:szCs w:val="21"/>
        </w:rPr>
        <w:t xml:space="preserve"> wird verboten. Die Zulassung hat der Bundesrat schon Mitte Dezember verboten, ab Anfang 2020 dürfen Produkte mit dem Wirkstoff nicht mehr eingesetzt werden. Grund ist, dass negative Auswirkungen auf die Gesundheit nicht ausgeschlossen werden können.</w:t>
      </w:r>
    </w:p>
    <w:p w14:paraId="7375DCEA" w14:textId="77777777" w:rsidR="004F25C1" w:rsidRPr="00EB552D" w:rsidRDefault="004F25C1" w:rsidP="00AF0070">
      <w:pPr>
        <w:spacing w:after="0" w:line="240" w:lineRule="auto"/>
        <w:jc w:val="both"/>
        <w:rPr>
          <w:sz w:val="21"/>
          <w:szCs w:val="21"/>
        </w:rPr>
      </w:pPr>
    </w:p>
    <w:p w14:paraId="4DC55E68" w14:textId="77777777" w:rsidR="004F25C1" w:rsidRPr="00EB552D" w:rsidRDefault="004F25C1" w:rsidP="00AF0070">
      <w:pPr>
        <w:spacing w:after="0" w:line="240" w:lineRule="auto"/>
        <w:jc w:val="both"/>
        <w:rPr>
          <w:sz w:val="21"/>
          <w:szCs w:val="21"/>
        </w:rPr>
      </w:pPr>
      <w:r w:rsidRPr="00EB552D">
        <w:rPr>
          <w:b/>
          <w:bCs/>
          <w:sz w:val="21"/>
          <w:szCs w:val="21"/>
        </w:rPr>
        <w:t>GESUNDHEIT</w:t>
      </w:r>
    </w:p>
    <w:p w14:paraId="27C394CC" w14:textId="07BD4392" w:rsidR="004F25C1" w:rsidRPr="00EB552D" w:rsidRDefault="004F25C1" w:rsidP="00AF0070">
      <w:pPr>
        <w:spacing w:after="0" w:line="240" w:lineRule="auto"/>
        <w:jc w:val="both"/>
        <w:rPr>
          <w:sz w:val="21"/>
          <w:szCs w:val="21"/>
        </w:rPr>
      </w:pPr>
      <w:r w:rsidRPr="00EB552D">
        <w:rPr>
          <w:sz w:val="21"/>
          <w:szCs w:val="21"/>
        </w:rPr>
        <w:t>Krebserkrankungen werden in der ganzen Schweiz vollständig und einheitlich im nationalen Krebsregister erfasst. Ärzte und Spitäler müssen genau definierte Daten liefern. Die Kantone sind verpflichtet, ein Krebsregister zu führen oder sich einem bestehenden Register anzuschliessen.</w:t>
      </w:r>
    </w:p>
    <w:p w14:paraId="02D5ED8B" w14:textId="64069522" w:rsidR="004F25C1" w:rsidRPr="00EB552D" w:rsidRDefault="004F25C1" w:rsidP="00AF0070">
      <w:pPr>
        <w:spacing w:after="0" w:line="240" w:lineRule="auto"/>
        <w:jc w:val="both"/>
        <w:rPr>
          <w:sz w:val="21"/>
          <w:szCs w:val="21"/>
        </w:rPr>
      </w:pPr>
    </w:p>
    <w:p w14:paraId="2B3281A8" w14:textId="77777777" w:rsidR="004F25C1" w:rsidRPr="00EB552D" w:rsidRDefault="004F25C1" w:rsidP="00AF0070">
      <w:pPr>
        <w:spacing w:after="0" w:line="240" w:lineRule="auto"/>
        <w:jc w:val="both"/>
        <w:rPr>
          <w:color w:val="FF0000"/>
          <w:sz w:val="21"/>
          <w:szCs w:val="21"/>
        </w:rPr>
      </w:pPr>
      <w:r w:rsidRPr="00EB552D">
        <w:rPr>
          <w:b/>
          <w:bCs/>
          <w:color w:val="FF0000"/>
          <w:sz w:val="21"/>
          <w:szCs w:val="21"/>
          <w:highlight w:val="yellow"/>
        </w:rPr>
        <w:t>GEWALT</w:t>
      </w:r>
    </w:p>
    <w:p w14:paraId="4BA4E0DF" w14:textId="77777777" w:rsidR="004F25C1" w:rsidRPr="00EB552D" w:rsidRDefault="004F25C1" w:rsidP="00AF0070">
      <w:pPr>
        <w:spacing w:after="0" w:line="240" w:lineRule="auto"/>
        <w:jc w:val="both"/>
        <w:rPr>
          <w:sz w:val="21"/>
          <w:szCs w:val="21"/>
        </w:rPr>
      </w:pPr>
      <w:r w:rsidRPr="00EB552D">
        <w:rPr>
          <w:sz w:val="21"/>
          <w:szCs w:val="21"/>
        </w:rPr>
        <w:t xml:space="preserve">Der Bund engagiert sich </w:t>
      </w:r>
      <w:r w:rsidRPr="00EB552D">
        <w:rPr>
          <w:b/>
          <w:bCs/>
          <w:sz w:val="21"/>
          <w:szCs w:val="21"/>
        </w:rPr>
        <w:t>stärker gegen Gewalt an Frauen und häusliche Gewalt</w:t>
      </w:r>
      <w:r w:rsidRPr="00EB552D">
        <w:rPr>
          <w:sz w:val="21"/>
          <w:szCs w:val="21"/>
        </w:rPr>
        <w:t>. Neu gibt es eine Rechtsgrundlage für Präventionsprojekte und Sensibilisierungskampagnen. Mit den dafür vorgesehenen Mitteln kann der Bund eigene Programme und Projekte durchführen, aber auch private Organisationen unterstützen.</w:t>
      </w:r>
    </w:p>
    <w:p w14:paraId="7DE5C2BD" w14:textId="77777777" w:rsidR="004F25C1" w:rsidRPr="00EB552D" w:rsidRDefault="004F25C1" w:rsidP="00AF0070">
      <w:pPr>
        <w:spacing w:after="0" w:line="240" w:lineRule="auto"/>
        <w:jc w:val="both"/>
        <w:rPr>
          <w:sz w:val="21"/>
          <w:szCs w:val="21"/>
        </w:rPr>
      </w:pPr>
    </w:p>
    <w:p w14:paraId="78995D51" w14:textId="77777777" w:rsidR="004F25C1" w:rsidRPr="00EB552D" w:rsidRDefault="004F25C1" w:rsidP="00AF0070">
      <w:pPr>
        <w:spacing w:after="0" w:line="240" w:lineRule="auto"/>
        <w:jc w:val="both"/>
        <w:rPr>
          <w:sz w:val="21"/>
          <w:szCs w:val="21"/>
        </w:rPr>
      </w:pPr>
      <w:r w:rsidRPr="00EB552D">
        <w:rPr>
          <w:b/>
          <w:bCs/>
          <w:sz w:val="21"/>
          <w:szCs w:val="21"/>
        </w:rPr>
        <w:t>HÜHNER</w:t>
      </w:r>
    </w:p>
    <w:p w14:paraId="2E9DDFE4" w14:textId="6631A589" w:rsidR="004F25C1" w:rsidRPr="00EB552D" w:rsidRDefault="004F25C1" w:rsidP="00AF0070">
      <w:pPr>
        <w:spacing w:after="0" w:line="240" w:lineRule="auto"/>
        <w:jc w:val="both"/>
        <w:rPr>
          <w:sz w:val="21"/>
          <w:szCs w:val="21"/>
        </w:rPr>
      </w:pPr>
      <w:r w:rsidRPr="00EB552D">
        <w:rPr>
          <w:b/>
          <w:bCs/>
          <w:sz w:val="21"/>
          <w:szCs w:val="21"/>
        </w:rPr>
        <w:t>Das Schreddern lebender Küken wird verboten</w:t>
      </w:r>
      <w:r w:rsidRPr="00EB552D">
        <w:rPr>
          <w:sz w:val="21"/>
          <w:szCs w:val="21"/>
        </w:rPr>
        <w:t>. Bis anhin wurden in einigen Brütereien männliche Tiere mit dieser Methode getötet. Weiterhin erlaubt ist die Tötung mit CO2.</w:t>
      </w:r>
    </w:p>
    <w:p w14:paraId="19A85B3A" w14:textId="77777777" w:rsidR="004F25C1" w:rsidRPr="00EB552D" w:rsidRDefault="004F25C1" w:rsidP="00AF0070">
      <w:pPr>
        <w:spacing w:after="0" w:line="240" w:lineRule="auto"/>
        <w:jc w:val="both"/>
        <w:rPr>
          <w:sz w:val="21"/>
          <w:szCs w:val="21"/>
        </w:rPr>
      </w:pPr>
    </w:p>
    <w:p w14:paraId="27E5A695" w14:textId="77777777" w:rsidR="004F25C1" w:rsidRPr="00EB552D" w:rsidRDefault="004F25C1" w:rsidP="00AF0070">
      <w:pPr>
        <w:spacing w:after="0" w:line="240" w:lineRule="auto"/>
        <w:jc w:val="both"/>
        <w:rPr>
          <w:b/>
          <w:bCs/>
          <w:color w:val="FF0000"/>
          <w:sz w:val="21"/>
          <w:szCs w:val="21"/>
        </w:rPr>
      </w:pPr>
      <w:r w:rsidRPr="00EB552D">
        <w:rPr>
          <w:b/>
          <w:bCs/>
          <w:color w:val="FF0000"/>
          <w:sz w:val="21"/>
          <w:szCs w:val="21"/>
          <w:highlight w:val="yellow"/>
        </w:rPr>
        <w:t>INTERNET</w:t>
      </w:r>
    </w:p>
    <w:p w14:paraId="30346C76" w14:textId="634C5ED8" w:rsidR="004F25C1" w:rsidRPr="00EB552D" w:rsidRDefault="004F25C1" w:rsidP="00AF0070">
      <w:pPr>
        <w:spacing w:after="0" w:line="240" w:lineRule="auto"/>
        <w:jc w:val="both"/>
        <w:rPr>
          <w:sz w:val="21"/>
          <w:szCs w:val="21"/>
        </w:rPr>
      </w:pPr>
      <w:r w:rsidRPr="00EB552D">
        <w:rPr>
          <w:sz w:val="21"/>
          <w:szCs w:val="21"/>
        </w:rPr>
        <w:t xml:space="preserve">Die Mindestgeschwindigkeit in der </w:t>
      </w:r>
      <w:r w:rsidRPr="00EB552D">
        <w:rPr>
          <w:b/>
          <w:bCs/>
          <w:sz w:val="21"/>
          <w:szCs w:val="21"/>
        </w:rPr>
        <w:t>Internet-Grundversorgung</w:t>
      </w:r>
      <w:r w:rsidRPr="00EB552D">
        <w:rPr>
          <w:sz w:val="21"/>
          <w:szCs w:val="21"/>
        </w:rPr>
        <w:t xml:space="preserve"> wird von 3 </w:t>
      </w:r>
      <w:r w:rsidRPr="00EB552D">
        <w:rPr>
          <w:b/>
          <w:bCs/>
          <w:sz w:val="21"/>
          <w:szCs w:val="21"/>
        </w:rPr>
        <w:t>auf 10 Megabit pro Sekunde (Mbit/s) erhöht</w:t>
      </w:r>
      <w:r w:rsidRPr="00EB552D">
        <w:rPr>
          <w:sz w:val="21"/>
          <w:szCs w:val="21"/>
        </w:rPr>
        <w:t>. Die Mindestgeschwindigkeit für den Upload steigt von 0,3 auf 1 Mbit/s. Die Vorgabe umsetzen muss die Swisscom, welche die Konzession für die Grundversorgung besitzt.</w:t>
      </w:r>
    </w:p>
    <w:p w14:paraId="422E0BD3" w14:textId="77777777" w:rsidR="004F25C1" w:rsidRPr="00EB552D" w:rsidRDefault="004F25C1" w:rsidP="00AF0070">
      <w:pPr>
        <w:spacing w:after="0" w:line="240" w:lineRule="auto"/>
        <w:jc w:val="both"/>
        <w:rPr>
          <w:sz w:val="21"/>
          <w:szCs w:val="21"/>
        </w:rPr>
      </w:pPr>
      <w:r w:rsidRPr="00EB552D">
        <w:rPr>
          <w:b/>
          <w:bCs/>
          <w:sz w:val="21"/>
          <w:szCs w:val="21"/>
        </w:rPr>
        <w:t>LANDWIRTSCHAFT</w:t>
      </w:r>
    </w:p>
    <w:p w14:paraId="7B88886C" w14:textId="77777777" w:rsidR="004F25C1" w:rsidRPr="00EB552D" w:rsidRDefault="004F25C1" w:rsidP="00AF0070">
      <w:pPr>
        <w:spacing w:after="0" w:line="240" w:lineRule="auto"/>
        <w:jc w:val="both"/>
        <w:rPr>
          <w:sz w:val="21"/>
          <w:szCs w:val="21"/>
        </w:rPr>
      </w:pPr>
      <w:r w:rsidRPr="00EB552D">
        <w:rPr>
          <w:b/>
          <w:bCs/>
          <w:sz w:val="21"/>
          <w:szCs w:val="21"/>
        </w:rPr>
        <w:t>Für Schafe und Ziegen wird eine Tierverkehrsdatenbank eingeführt</w:t>
      </w:r>
      <w:r w:rsidRPr="00EB552D">
        <w:rPr>
          <w:sz w:val="21"/>
          <w:szCs w:val="21"/>
        </w:rPr>
        <w:t>. Vor dem 1. Januar 2020 geborene Tiere müssen mit einer zweiten Ohrmarke gekennzeichnet werden. Für Schafe ist eine elektronische Ohrmarke Pflicht, während bei Ziegen der Tierhalter zwischen Ohrmarken mit oder ohne Mikrochip wählen kann.</w:t>
      </w:r>
    </w:p>
    <w:p w14:paraId="4149AAE6" w14:textId="28B7918C" w:rsidR="004F25C1" w:rsidRDefault="004F25C1" w:rsidP="00AF0070">
      <w:pPr>
        <w:spacing w:after="0" w:line="240" w:lineRule="auto"/>
        <w:jc w:val="both"/>
        <w:rPr>
          <w:sz w:val="21"/>
          <w:szCs w:val="21"/>
        </w:rPr>
      </w:pPr>
    </w:p>
    <w:p w14:paraId="25577D21" w14:textId="28682997" w:rsidR="004D6420" w:rsidRDefault="004D6420" w:rsidP="00AF0070">
      <w:pPr>
        <w:spacing w:after="0" w:line="240" w:lineRule="auto"/>
        <w:jc w:val="both"/>
        <w:rPr>
          <w:sz w:val="21"/>
          <w:szCs w:val="21"/>
        </w:rPr>
      </w:pPr>
    </w:p>
    <w:p w14:paraId="3F104E16" w14:textId="77777777" w:rsidR="004D6420" w:rsidRPr="00EB552D" w:rsidRDefault="004D6420" w:rsidP="00AF0070">
      <w:pPr>
        <w:spacing w:after="0" w:line="240" w:lineRule="auto"/>
        <w:jc w:val="both"/>
        <w:rPr>
          <w:sz w:val="21"/>
          <w:szCs w:val="21"/>
        </w:rPr>
      </w:pPr>
    </w:p>
    <w:p w14:paraId="5CD5AAC6" w14:textId="77777777" w:rsidR="004F25C1" w:rsidRPr="00EB552D" w:rsidRDefault="004F25C1" w:rsidP="00AF0070">
      <w:pPr>
        <w:spacing w:after="0" w:line="240" w:lineRule="auto"/>
        <w:jc w:val="both"/>
        <w:rPr>
          <w:b/>
          <w:bCs/>
          <w:color w:val="FF0000"/>
          <w:sz w:val="21"/>
          <w:szCs w:val="21"/>
        </w:rPr>
      </w:pPr>
      <w:r w:rsidRPr="00EB552D">
        <w:rPr>
          <w:b/>
          <w:bCs/>
          <w:color w:val="FF0000"/>
          <w:sz w:val="21"/>
          <w:szCs w:val="21"/>
          <w:highlight w:val="yellow"/>
        </w:rPr>
        <w:lastRenderedPageBreak/>
        <w:t>LITTERING</w:t>
      </w:r>
    </w:p>
    <w:p w14:paraId="0C0553C3" w14:textId="77777777" w:rsidR="004F25C1" w:rsidRPr="00EB552D" w:rsidRDefault="004F25C1" w:rsidP="00AF0070">
      <w:pPr>
        <w:spacing w:after="0" w:line="240" w:lineRule="auto"/>
        <w:jc w:val="both"/>
        <w:rPr>
          <w:sz w:val="21"/>
          <w:szCs w:val="21"/>
        </w:rPr>
      </w:pPr>
      <w:r w:rsidRPr="00EB552D">
        <w:rPr>
          <w:sz w:val="21"/>
          <w:szCs w:val="21"/>
        </w:rPr>
        <w:t xml:space="preserve">Das neue Littering-Gesetz steht zwar schon länger, nun ist aber auch das Reglement bereit. Ab jetzt können </w:t>
      </w:r>
      <w:r w:rsidRPr="00EB552D">
        <w:rPr>
          <w:sz w:val="21"/>
          <w:szCs w:val="21"/>
          <w:highlight w:val="yellow"/>
        </w:rPr>
        <w:t xml:space="preserve">im Kanton </w:t>
      </w:r>
      <w:r w:rsidRPr="00EB552D">
        <w:rPr>
          <w:b/>
          <w:bCs/>
          <w:sz w:val="21"/>
          <w:szCs w:val="21"/>
          <w:highlight w:val="yellow"/>
        </w:rPr>
        <w:t>Freiburg alle gebüsst</w:t>
      </w:r>
      <w:r w:rsidRPr="00EB552D">
        <w:rPr>
          <w:sz w:val="21"/>
          <w:szCs w:val="21"/>
        </w:rPr>
        <w:t xml:space="preserve"> werden, die Zigarettenstummel, Papierchen oder Kaugummis </w:t>
      </w:r>
      <w:r w:rsidRPr="00EB552D">
        <w:rPr>
          <w:b/>
          <w:bCs/>
          <w:sz w:val="21"/>
          <w:szCs w:val="21"/>
        </w:rPr>
        <w:t>auf den Boden</w:t>
      </w:r>
      <w:r w:rsidRPr="00EB552D">
        <w:rPr>
          <w:sz w:val="21"/>
          <w:szCs w:val="21"/>
        </w:rPr>
        <w:t xml:space="preserve"> statt in den Abfalleimer </w:t>
      </w:r>
      <w:r w:rsidRPr="00EB552D">
        <w:rPr>
          <w:b/>
          <w:bCs/>
          <w:sz w:val="21"/>
          <w:szCs w:val="21"/>
        </w:rPr>
        <w:t>werfen</w:t>
      </w:r>
      <w:r w:rsidRPr="00EB552D">
        <w:rPr>
          <w:sz w:val="21"/>
          <w:szCs w:val="21"/>
        </w:rPr>
        <w:t>.</w:t>
      </w:r>
    </w:p>
    <w:p w14:paraId="63AF72D8" w14:textId="256AAAE4" w:rsidR="004F25C1" w:rsidRPr="00EB552D" w:rsidRDefault="004F25C1" w:rsidP="00AF0070">
      <w:pPr>
        <w:spacing w:after="0" w:line="240" w:lineRule="auto"/>
        <w:jc w:val="both"/>
        <w:rPr>
          <w:sz w:val="21"/>
          <w:szCs w:val="21"/>
        </w:rPr>
      </w:pPr>
    </w:p>
    <w:p w14:paraId="6BC3E369" w14:textId="77777777" w:rsidR="004F25C1" w:rsidRPr="00EB552D" w:rsidRDefault="004F25C1" w:rsidP="00AF0070">
      <w:pPr>
        <w:spacing w:after="0" w:line="240" w:lineRule="auto"/>
        <w:jc w:val="both"/>
        <w:rPr>
          <w:b/>
          <w:bCs/>
          <w:sz w:val="21"/>
          <w:szCs w:val="21"/>
        </w:rPr>
      </w:pPr>
      <w:r w:rsidRPr="00EB552D">
        <w:rPr>
          <w:b/>
          <w:bCs/>
          <w:sz w:val="21"/>
          <w:szCs w:val="21"/>
        </w:rPr>
        <w:t>MEDIKAMENTE</w:t>
      </w:r>
    </w:p>
    <w:p w14:paraId="54F83332" w14:textId="77777777" w:rsidR="004F25C1" w:rsidRPr="00EB552D" w:rsidRDefault="004F25C1" w:rsidP="00AF0070">
      <w:pPr>
        <w:spacing w:after="0" w:line="240" w:lineRule="auto"/>
        <w:jc w:val="both"/>
        <w:rPr>
          <w:sz w:val="21"/>
          <w:szCs w:val="21"/>
        </w:rPr>
      </w:pPr>
      <w:r w:rsidRPr="00EB552D">
        <w:rPr>
          <w:sz w:val="21"/>
          <w:szCs w:val="21"/>
        </w:rPr>
        <w:t>Im Risikoausgleich der obligatorischen Krankenversicherung werden neu pharmazeutische Kostengruppen berücksichtigt. So können Patientinnen und Patienten ermittelt werden, die an kostenintensiven chronischen Krankheiten leiden. Die Versichertenstruktur der einzelnen Kassen wird dadurch besser ausgeglichen, was die Jagd nach jungen, gesunden Versicherten weniger interessant macht.</w:t>
      </w:r>
    </w:p>
    <w:p w14:paraId="082AC493" w14:textId="77777777" w:rsidR="004F25C1" w:rsidRPr="00EB552D" w:rsidRDefault="004F25C1" w:rsidP="00AF0070">
      <w:pPr>
        <w:spacing w:after="0" w:line="240" w:lineRule="auto"/>
        <w:jc w:val="both"/>
        <w:rPr>
          <w:sz w:val="21"/>
          <w:szCs w:val="21"/>
        </w:rPr>
      </w:pPr>
    </w:p>
    <w:p w14:paraId="2B6ACEE3" w14:textId="77777777" w:rsidR="004F25C1" w:rsidRPr="00EB552D" w:rsidRDefault="004F25C1" w:rsidP="00AF0070">
      <w:pPr>
        <w:spacing w:after="0" w:line="240" w:lineRule="auto"/>
        <w:jc w:val="both"/>
        <w:rPr>
          <w:sz w:val="21"/>
          <w:szCs w:val="21"/>
        </w:rPr>
      </w:pPr>
      <w:r w:rsidRPr="00EB552D">
        <w:rPr>
          <w:b/>
          <w:bCs/>
          <w:sz w:val="21"/>
          <w:szCs w:val="21"/>
        </w:rPr>
        <w:t>RENTE</w:t>
      </w:r>
    </w:p>
    <w:p w14:paraId="3B8FAFF5" w14:textId="77777777" w:rsidR="004F25C1" w:rsidRPr="00EB552D" w:rsidRDefault="004F25C1" w:rsidP="00AF0070">
      <w:pPr>
        <w:spacing w:after="0" w:line="240" w:lineRule="auto"/>
        <w:jc w:val="both"/>
        <w:rPr>
          <w:sz w:val="21"/>
          <w:szCs w:val="21"/>
        </w:rPr>
      </w:pPr>
      <w:r w:rsidRPr="00EB552D">
        <w:rPr>
          <w:sz w:val="21"/>
          <w:szCs w:val="21"/>
        </w:rPr>
        <w:t>Die Mitarbeiterinnen der Bundesverwaltung dürfen künftig nach dem Erreichen des AHV-Alters bis zum Alter von 65 Jahren weiterarbeiten, wenn sie dies möchten. Sie werden damit in dieser Hinsicht den männlichen Kollegen gleichgestellt. Die Frauen haben nach Erreichen des AHV-Alters mit 64 Jahren Anspruch auf ein neues Arbeitsverhältnis zu den gleichen Anstellungsbedingungen.</w:t>
      </w:r>
    </w:p>
    <w:p w14:paraId="02EB2183" w14:textId="49D8855D" w:rsidR="00BF6876" w:rsidRPr="00EB552D" w:rsidRDefault="00BF6876" w:rsidP="00AF0070">
      <w:pPr>
        <w:spacing w:after="0" w:line="240" w:lineRule="auto"/>
        <w:jc w:val="both"/>
        <w:rPr>
          <w:sz w:val="21"/>
          <w:szCs w:val="21"/>
        </w:rPr>
      </w:pPr>
    </w:p>
    <w:p w14:paraId="7DA800A3" w14:textId="77777777" w:rsidR="004F25C1" w:rsidRPr="00EB552D" w:rsidRDefault="004F25C1" w:rsidP="00AF0070">
      <w:pPr>
        <w:spacing w:after="0" w:line="240" w:lineRule="auto"/>
        <w:jc w:val="both"/>
        <w:rPr>
          <w:b/>
          <w:bCs/>
          <w:color w:val="FF0000"/>
          <w:sz w:val="21"/>
          <w:szCs w:val="21"/>
        </w:rPr>
      </w:pPr>
      <w:r w:rsidRPr="00EB552D">
        <w:rPr>
          <w:b/>
          <w:bCs/>
          <w:color w:val="FF0000"/>
          <w:sz w:val="21"/>
          <w:szCs w:val="21"/>
          <w:highlight w:val="yellow"/>
        </w:rPr>
        <w:t>SCHWARZARBEIT</w:t>
      </w:r>
    </w:p>
    <w:p w14:paraId="312D7AE8" w14:textId="77777777" w:rsidR="004F25C1" w:rsidRPr="00EB552D" w:rsidRDefault="004F25C1" w:rsidP="00AF0070">
      <w:pPr>
        <w:spacing w:after="0" w:line="240" w:lineRule="auto"/>
        <w:jc w:val="both"/>
        <w:rPr>
          <w:sz w:val="21"/>
          <w:szCs w:val="21"/>
        </w:rPr>
      </w:pPr>
      <w:r w:rsidRPr="00EB552D">
        <w:rPr>
          <w:sz w:val="21"/>
          <w:szCs w:val="21"/>
        </w:rPr>
        <w:t xml:space="preserve">Ein wichtiges Gesetz ist auch dasjenige, das die Schwarzarbeit betrifft. Bisher gab es </w:t>
      </w:r>
      <w:r w:rsidRPr="00EB552D">
        <w:rPr>
          <w:b/>
          <w:bCs/>
          <w:sz w:val="21"/>
          <w:szCs w:val="21"/>
        </w:rPr>
        <w:t>im Kanton Freiburg 10'000 Franken</w:t>
      </w:r>
      <w:r w:rsidRPr="00EB552D">
        <w:rPr>
          <w:sz w:val="21"/>
          <w:szCs w:val="21"/>
        </w:rPr>
        <w:t xml:space="preserve"> Busse für Firmen, die bei der Schwarzarbeit erwischt wurden. Neu müssen </w:t>
      </w:r>
      <w:r w:rsidRPr="00EB552D">
        <w:rPr>
          <w:b/>
          <w:bCs/>
          <w:sz w:val="21"/>
          <w:szCs w:val="21"/>
        </w:rPr>
        <w:t>Firmen mit bis zu einer Million Franken</w:t>
      </w:r>
      <w:r w:rsidRPr="00EB552D">
        <w:rPr>
          <w:sz w:val="21"/>
          <w:szCs w:val="21"/>
        </w:rPr>
        <w:t xml:space="preserve"> Busse rechnen. Auch erhalten kantonale Inspektoren mehr Kompetenzen, um gegen die Schwarzarbeit vorzugehen.</w:t>
      </w:r>
    </w:p>
    <w:p w14:paraId="128118FB" w14:textId="77777777" w:rsidR="004F25C1" w:rsidRPr="00EB552D" w:rsidRDefault="004F25C1" w:rsidP="00AF0070">
      <w:pPr>
        <w:spacing w:after="0" w:line="240" w:lineRule="auto"/>
        <w:jc w:val="both"/>
        <w:rPr>
          <w:sz w:val="21"/>
          <w:szCs w:val="21"/>
        </w:rPr>
      </w:pPr>
    </w:p>
    <w:p w14:paraId="11715CC9" w14:textId="77777777" w:rsidR="00BF6876" w:rsidRPr="00EB552D" w:rsidRDefault="00BF6876" w:rsidP="00AF0070">
      <w:pPr>
        <w:spacing w:after="0" w:line="240" w:lineRule="auto"/>
        <w:jc w:val="both"/>
        <w:rPr>
          <w:sz w:val="21"/>
          <w:szCs w:val="21"/>
        </w:rPr>
      </w:pPr>
      <w:r w:rsidRPr="00EB552D">
        <w:rPr>
          <w:b/>
          <w:bCs/>
          <w:sz w:val="21"/>
          <w:szCs w:val="21"/>
        </w:rPr>
        <w:t>STEUERN</w:t>
      </w:r>
    </w:p>
    <w:p w14:paraId="4501355B" w14:textId="77777777" w:rsidR="00BF6876" w:rsidRPr="00EB552D" w:rsidRDefault="00BF6876" w:rsidP="00AF0070">
      <w:pPr>
        <w:spacing w:after="0" w:line="240" w:lineRule="auto"/>
        <w:jc w:val="both"/>
        <w:rPr>
          <w:sz w:val="21"/>
          <w:szCs w:val="21"/>
        </w:rPr>
      </w:pPr>
      <w:r w:rsidRPr="00EB552D">
        <w:rPr>
          <w:b/>
          <w:bCs/>
          <w:sz w:val="21"/>
          <w:szCs w:val="21"/>
        </w:rPr>
        <w:t>Hausbesitzer</w:t>
      </w:r>
      <w:r w:rsidRPr="00EB552D">
        <w:rPr>
          <w:sz w:val="21"/>
          <w:szCs w:val="21"/>
        </w:rPr>
        <w:t xml:space="preserve"> können </w:t>
      </w:r>
      <w:r w:rsidRPr="00EB552D">
        <w:rPr>
          <w:b/>
          <w:bCs/>
          <w:sz w:val="21"/>
          <w:szCs w:val="21"/>
        </w:rPr>
        <w:t>ab 2020 von neuen Abzügen</w:t>
      </w:r>
      <w:r w:rsidRPr="00EB552D">
        <w:rPr>
          <w:sz w:val="21"/>
          <w:szCs w:val="21"/>
        </w:rPr>
        <w:t xml:space="preserve"> bei der </w:t>
      </w:r>
      <w:r w:rsidRPr="00EB552D">
        <w:rPr>
          <w:b/>
          <w:bCs/>
          <w:sz w:val="21"/>
          <w:szCs w:val="21"/>
        </w:rPr>
        <w:t>direkten Bundessteuer</w:t>
      </w:r>
      <w:r w:rsidR="00272C66" w:rsidRPr="00EB552D">
        <w:rPr>
          <w:b/>
          <w:bCs/>
          <w:sz w:val="21"/>
          <w:szCs w:val="21"/>
        </w:rPr>
        <w:t xml:space="preserve"> (DBST)</w:t>
      </w:r>
      <w:r w:rsidRPr="00EB552D">
        <w:rPr>
          <w:sz w:val="21"/>
          <w:szCs w:val="21"/>
        </w:rPr>
        <w:t xml:space="preserve"> profitieren. </w:t>
      </w:r>
      <w:r w:rsidRPr="00EB552D">
        <w:rPr>
          <w:b/>
          <w:bCs/>
          <w:sz w:val="21"/>
          <w:szCs w:val="21"/>
        </w:rPr>
        <w:t>Auslagen</w:t>
      </w:r>
      <w:r w:rsidRPr="00EB552D">
        <w:rPr>
          <w:sz w:val="21"/>
          <w:szCs w:val="21"/>
        </w:rPr>
        <w:t xml:space="preserve"> für energiesparende Investitionen und Rückbaukosten </w:t>
      </w:r>
      <w:r w:rsidRPr="00EB552D">
        <w:rPr>
          <w:b/>
          <w:bCs/>
          <w:sz w:val="21"/>
          <w:szCs w:val="21"/>
        </w:rPr>
        <w:t xml:space="preserve">können auf drei aufeinanderfolgende Steuerperioden verteilt </w:t>
      </w:r>
      <w:r w:rsidRPr="00EB552D">
        <w:rPr>
          <w:sz w:val="21"/>
          <w:szCs w:val="21"/>
        </w:rPr>
        <w:t>werden. Es handelt sich um eine Massnahme zur Umsetzung der Energiestrategie.</w:t>
      </w:r>
    </w:p>
    <w:p w14:paraId="51C1B398" w14:textId="3CABC514" w:rsidR="00BF6876" w:rsidRPr="00EB552D" w:rsidRDefault="00BF6876" w:rsidP="00AF0070">
      <w:pPr>
        <w:spacing w:after="0" w:line="240" w:lineRule="auto"/>
        <w:jc w:val="both"/>
        <w:rPr>
          <w:sz w:val="21"/>
          <w:szCs w:val="21"/>
        </w:rPr>
      </w:pPr>
    </w:p>
    <w:p w14:paraId="3906B798" w14:textId="77777777" w:rsidR="004F25C1" w:rsidRPr="00EB552D" w:rsidRDefault="004F25C1" w:rsidP="00AF0070">
      <w:pPr>
        <w:spacing w:after="0" w:line="240" w:lineRule="auto"/>
        <w:jc w:val="both"/>
        <w:rPr>
          <w:sz w:val="21"/>
          <w:szCs w:val="21"/>
        </w:rPr>
      </w:pPr>
      <w:r w:rsidRPr="00EB552D">
        <w:rPr>
          <w:b/>
          <w:bCs/>
          <w:sz w:val="21"/>
          <w:szCs w:val="21"/>
        </w:rPr>
        <w:t>TIERE</w:t>
      </w:r>
    </w:p>
    <w:p w14:paraId="51BE0667" w14:textId="77777777" w:rsidR="004F25C1" w:rsidRPr="00EB552D" w:rsidRDefault="004F25C1" w:rsidP="00AF0070">
      <w:pPr>
        <w:spacing w:after="0" w:line="240" w:lineRule="auto"/>
        <w:jc w:val="both"/>
        <w:rPr>
          <w:sz w:val="21"/>
          <w:szCs w:val="21"/>
        </w:rPr>
      </w:pPr>
      <w:r w:rsidRPr="00EB552D">
        <w:rPr>
          <w:sz w:val="21"/>
          <w:szCs w:val="21"/>
        </w:rPr>
        <w:t>Tierhaltungs-Kontrollen in problematischen Landwirtschaftsbetrieben werden verstärkt. Künftig müssen 40 Prozent der Kontrollen unangemeldet erfolgen. Problematische Betriebe werden regelmässiger, unproblematische dafür weniger oft kontrolliert.</w:t>
      </w:r>
    </w:p>
    <w:p w14:paraId="60D8E75A" w14:textId="77777777" w:rsidR="00BF6876" w:rsidRPr="00EB552D" w:rsidRDefault="00BF6876" w:rsidP="00AF0070">
      <w:pPr>
        <w:spacing w:after="0" w:line="240" w:lineRule="auto"/>
        <w:jc w:val="both"/>
        <w:rPr>
          <w:sz w:val="21"/>
          <w:szCs w:val="21"/>
        </w:rPr>
      </w:pPr>
    </w:p>
    <w:p w14:paraId="7C303F35" w14:textId="77777777" w:rsidR="00BF6876" w:rsidRPr="00EB552D" w:rsidRDefault="00BF6876" w:rsidP="00AF0070">
      <w:pPr>
        <w:spacing w:after="0" w:line="240" w:lineRule="auto"/>
        <w:jc w:val="both"/>
        <w:rPr>
          <w:sz w:val="21"/>
          <w:szCs w:val="21"/>
        </w:rPr>
      </w:pPr>
      <w:r w:rsidRPr="00EB552D">
        <w:rPr>
          <w:b/>
          <w:bCs/>
          <w:sz w:val="21"/>
          <w:szCs w:val="21"/>
        </w:rPr>
        <w:t>UNTERNEHMEN</w:t>
      </w:r>
    </w:p>
    <w:p w14:paraId="61F5DA73" w14:textId="77777777" w:rsidR="00BF6876" w:rsidRPr="00EB552D" w:rsidRDefault="00BF6876" w:rsidP="00AF0070">
      <w:pPr>
        <w:spacing w:after="0" w:line="240" w:lineRule="auto"/>
        <w:jc w:val="both"/>
        <w:rPr>
          <w:sz w:val="21"/>
          <w:szCs w:val="21"/>
        </w:rPr>
      </w:pPr>
      <w:r w:rsidRPr="00EB552D">
        <w:rPr>
          <w:sz w:val="21"/>
          <w:szCs w:val="21"/>
        </w:rPr>
        <w:t xml:space="preserve">Die </w:t>
      </w:r>
      <w:r w:rsidRPr="00EB552D">
        <w:rPr>
          <w:b/>
          <w:bCs/>
          <w:sz w:val="21"/>
          <w:szCs w:val="21"/>
        </w:rPr>
        <w:t>kantonalen Steuerprivilegien</w:t>
      </w:r>
      <w:r w:rsidRPr="00EB552D">
        <w:rPr>
          <w:sz w:val="21"/>
          <w:szCs w:val="21"/>
        </w:rPr>
        <w:t xml:space="preserve"> für Holdings und andere Statusgesellschaften </w:t>
      </w:r>
      <w:r w:rsidRPr="00EB552D">
        <w:rPr>
          <w:b/>
          <w:bCs/>
          <w:sz w:val="21"/>
          <w:szCs w:val="21"/>
        </w:rPr>
        <w:t>werden abgeschafft</w:t>
      </w:r>
      <w:r w:rsidRPr="00EB552D">
        <w:rPr>
          <w:sz w:val="21"/>
          <w:szCs w:val="21"/>
        </w:rPr>
        <w:t>. Die Schweiz reagiert damit auf internationalen Druck. Gleichzeitig werden international akzeptierte Vergünstigungen eingeführt, darunter die Patentbox und der erhöhte Forschungsabzug.</w:t>
      </w:r>
    </w:p>
    <w:p w14:paraId="0EE1E1D2" w14:textId="77777777" w:rsidR="0097304A" w:rsidRPr="00EB552D" w:rsidRDefault="0097304A" w:rsidP="00AF0070">
      <w:pPr>
        <w:spacing w:after="0" w:line="240" w:lineRule="auto"/>
        <w:jc w:val="both"/>
        <w:rPr>
          <w:sz w:val="21"/>
          <w:szCs w:val="21"/>
        </w:rPr>
      </w:pPr>
    </w:p>
    <w:p w14:paraId="604EC642" w14:textId="77777777" w:rsidR="00BF6876" w:rsidRPr="00EB552D" w:rsidRDefault="00BF6876" w:rsidP="00AF0070">
      <w:pPr>
        <w:spacing w:after="0" w:line="240" w:lineRule="auto"/>
        <w:jc w:val="both"/>
        <w:rPr>
          <w:sz w:val="21"/>
          <w:szCs w:val="21"/>
        </w:rPr>
      </w:pPr>
      <w:r w:rsidRPr="00EB552D">
        <w:rPr>
          <w:b/>
          <w:bCs/>
          <w:sz w:val="21"/>
          <w:szCs w:val="21"/>
        </w:rPr>
        <w:t>UMWELT</w:t>
      </w:r>
    </w:p>
    <w:p w14:paraId="4918C2AB" w14:textId="77777777" w:rsidR="00BF6876" w:rsidRPr="00EB552D" w:rsidRDefault="00BF6876" w:rsidP="00AF0070">
      <w:pPr>
        <w:spacing w:after="0" w:line="240" w:lineRule="auto"/>
        <w:jc w:val="both"/>
        <w:rPr>
          <w:sz w:val="21"/>
          <w:szCs w:val="21"/>
        </w:rPr>
      </w:pPr>
      <w:r w:rsidRPr="00EB552D">
        <w:rPr>
          <w:sz w:val="21"/>
          <w:szCs w:val="21"/>
        </w:rPr>
        <w:t>Die Schweiz und die EU verknüpfen ihre Emissionshandelssysteme. Schweizer Unternehmen können ihre Emissionsrechte damit künftig auch im grösseren EU-Markt handeln. Bisher umfasst das Schweizer Emissionshandelssystem etwas mehr als 50 emissionsintensive Industrieanlagen. Wegen der kleinen Teilnehmerzahl funktionierte der Schweizer Markt bisher nur bedingt.</w:t>
      </w:r>
    </w:p>
    <w:p w14:paraId="1ADA42DF" w14:textId="77777777" w:rsidR="00BF6876" w:rsidRPr="00EB552D" w:rsidRDefault="00BF6876" w:rsidP="00AF0070">
      <w:pPr>
        <w:spacing w:after="0" w:line="240" w:lineRule="auto"/>
        <w:jc w:val="both"/>
        <w:rPr>
          <w:sz w:val="21"/>
          <w:szCs w:val="21"/>
        </w:rPr>
      </w:pPr>
    </w:p>
    <w:p w14:paraId="424437F5" w14:textId="77777777" w:rsidR="00BF6876" w:rsidRPr="00EB552D" w:rsidRDefault="00BF6876" w:rsidP="00AF0070">
      <w:pPr>
        <w:spacing w:after="0" w:line="240" w:lineRule="auto"/>
        <w:jc w:val="both"/>
        <w:rPr>
          <w:color w:val="FF0000"/>
          <w:sz w:val="21"/>
          <w:szCs w:val="21"/>
        </w:rPr>
      </w:pPr>
      <w:r w:rsidRPr="00EB552D">
        <w:rPr>
          <w:b/>
          <w:bCs/>
          <w:color w:val="FF0000"/>
          <w:sz w:val="21"/>
          <w:szCs w:val="21"/>
          <w:highlight w:val="yellow"/>
        </w:rPr>
        <w:t>VERJÄHRUNG</w:t>
      </w:r>
    </w:p>
    <w:p w14:paraId="4E238EC4" w14:textId="77777777" w:rsidR="00BF6876" w:rsidRPr="00EB552D" w:rsidRDefault="00BF6876" w:rsidP="00AF0070">
      <w:pPr>
        <w:spacing w:after="0" w:line="240" w:lineRule="auto"/>
        <w:jc w:val="both"/>
        <w:rPr>
          <w:sz w:val="21"/>
          <w:szCs w:val="21"/>
        </w:rPr>
      </w:pPr>
      <w:r w:rsidRPr="00EB552D">
        <w:rPr>
          <w:sz w:val="21"/>
          <w:szCs w:val="21"/>
        </w:rPr>
        <w:t xml:space="preserve">Bisher sind </w:t>
      </w:r>
      <w:r w:rsidRPr="00EB552D">
        <w:rPr>
          <w:b/>
          <w:bCs/>
          <w:sz w:val="21"/>
          <w:szCs w:val="21"/>
        </w:rPr>
        <w:t>Ansprüche aus Personenschäden nach zehn Jahren verjährt</w:t>
      </w:r>
      <w:r w:rsidRPr="00EB552D">
        <w:rPr>
          <w:sz w:val="21"/>
          <w:szCs w:val="21"/>
        </w:rPr>
        <w:t xml:space="preserve">. Diese Frist stellte sich zum Beispiel für Asbestopfer als zu kurz heraus. Die Verjährungsfrist wird daher </w:t>
      </w:r>
      <w:r w:rsidRPr="00EB552D">
        <w:rPr>
          <w:b/>
          <w:bCs/>
          <w:sz w:val="21"/>
          <w:szCs w:val="21"/>
        </w:rPr>
        <w:t>auf 20 Jahre verlängert</w:t>
      </w:r>
      <w:r w:rsidRPr="00EB552D">
        <w:rPr>
          <w:sz w:val="21"/>
          <w:szCs w:val="21"/>
        </w:rPr>
        <w:t>. (sda/</w:t>
      </w:r>
      <w:proofErr w:type="spellStart"/>
      <w:r w:rsidRPr="00EB552D">
        <w:rPr>
          <w:sz w:val="21"/>
          <w:szCs w:val="21"/>
        </w:rPr>
        <w:t>red</w:t>
      </w:r>
      <w:proofErr w:type="spellEnd"/>
      <w:r w:rsidRPr="00EB552D">
        <w:rPr>
          <w:sz w:val="21"/>
          <w:szCs w:val="21"/>
        </w:rPr>
        <w:t>)</w:t>
      </w:r>
    </w:p>
    <w:p w14:paraId="4528CA19" w14:textId="77777777" w:rsidR="001907A3" w:rsidRDefault="001907A3" w:rsidP="00AF0070">
      <w:pPr>
        <w:spacing w:after="0" w:line="240" w:lineRule="auto"/>
        <w:jc w:val="both"/>
        <w:rPr>
          <w:sz w:val="12"/>
          <w:szCs w:val="12"/>
        </w:rPr>
      </w:pPr>
    </w:p>
    <w:p w14:paraId="48DDF334" w14:textId="2A5B4027" w:rsidR="00175D71" w:rsidRDefault="003D6E22" w:rsidP="00AF0070">
      <w:pPr>
        <w:spacing w:after="0" w:line="240" w:lineRule="auto"/>
        <w:jc w:val="both"/>
        <w:rPr>
          <w:sz w:val="12"/>
          <w:szCs w:val="12"/>
        </w:rPr>
      </w:pPr>
      <w:proofErr w:type="spellStart"/>
      <w:r w:rsidRPr="001907A3">
        <w:rPr>
          <w:sz w:val="12"/>
          <w:szCs w:val="12"/>
        </w:rPr>
        <w:t>TagesAnze</w:t>
      </w:r>
      <w:r w:rsidR="00CF1A9E" w:rsidRPr="001907A3">
        <w:rPr>
          <w:sz w:val="12"/>
          <w:szCs w:val="12"/>
        </w:rPr>
        <w:t>i</w:t>
      </w:r>
      <w:r w:rsidRPr="001907A3">
        <w:rPr>
          <w:sz w:val="12"/>
          <w:szCs w:val="12"/>
        </w:rPr>
        <w:t>ger</w:t>
      </w:r>
      <w:proofErr w:type="spellEnd"/>
      <w:r w:rsidRPr="001907A3">
        <w:rPr>
          <w:sz w:val="12"/>
          <w:szCs w:val="12"/>
        </w:rPr>
        <w:t xml:space="preserve">: </w:t>
      </w:r>
      <w:r w:rsidR="00BF6876" w:rsidRPr="001907A3">
        <w:rPr>
          <w:sz w:val="12"/>
          <w:szCs w:val="12"/>
        </w:rPr>
        <w:t>26.12.2019, 10:51 Uhr</w:t>
      </w:r>
      <w:r w:rsidR="00AD6D87">
        <w:rPr>
          <w:sz w:val="12"/>
          <w:szCs w:val="12"/>
        </w:rPr>
        <w:t xml:space="preserve"> + News RADIO FR</w:t>
      </w:r>
    </w:p>
    <w:p w14:paraId="10083DAC" w14:textId="6974AD8F" w:rsidR="00435D26" w:rsidRPr="004D6420" w:rsidRDefault="00435D26" w:rsidP="00AF0070">
      <w:pPr>
        <w:spacing w:after="0" w:line="240" w:lineRule="auto"/>
        <w:jc w:val="both"/>
        <w:rPr>
          <w:sz w:val="18"/>
          <w:szCs w:val="18"/>
        </w:rPr>
      </w:pPr>
      <w:bookmarkStart w:id="0" w:name="_GoBack"/>
      <w:bookmarkEnd w:id="0"/>
    </w:p>
    <w:sectPr w:rsidR="00435D26" w:rsidRPr="004D6420" w:rsidSect="004F25C1">
      <w:headerReference w:type="default" r:id="rId8"/>
      <w:footerReference w:type="default" r:id="rId9"/>
      <w:headerReference w:type="first" r:id="rId1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ED0DC" w14:textId="77777777" w:rsidR="00826828" w:rsidRDefault="00826828" w:rsidP="00E25FC8">
      <w:pPr>
        <w:spacing w:after="0" w:line="240" w:lineRule="auto"/>
      </w:pPr>
      <w:r>
        <w:separator/>
      </w:r>
    </w:p>
  </w:endnote>
  <w:endnote w:type="continuationSeparator" w:id="0">
    <w:p w14:paraId="744FEA48" w14:textId="77777777" w:rsidR="00826828" w:rsidRDefault="00826828" w:rsidP="00E2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223A" w14:textId="450AE43D" w:rsidR="00E25FC8" w:rsidRPr="00D40F05" w:rsidRDefault="00E25FC8" w:rsidP="00E25FC8">
    <w:pPr>
      <w:pStyle w:val="Fuzeile"/>
      <w:pBdr>
        <w:top w:val="single" w:sz="4" w:space="1" w:color="auto"/>
      </w:pBdr>
      <w:rPr>
        <w:rFonts w:ascii="Arial" w:hAnsi="Arial" w:cs="Arial"/>
        <w:sz w:val="16"/>
        <w:szCs w:val="16"/>
      </w:rPr>
    </w:pPr>
    <w:r w:rsidRPr="00D40F05">
      <w:rPr>
        <w:rFonts w:ascii="Arial" w:hAnsi="Arial" w:cs="Arial"/>
        <w:sz w:val="16"/>
        <w:szCs w:val="16"/>
      </w:rPr>
      <w:fldChar w:fldCharType="begin"/>
    </w:r>
    <w:r w:rsidRPr="00D40F05">
      <w:rPr>
        <w:rFonts w:ascii="Arial" w:hAnsi="Arial" w:cs="Arial"/>
        <w:sz w:val="16"/>
        <w:szCs w:val="16"/>
      </w:rPr>
      <w:instrText xml:space="preserve"> FILENAME  \p  \* MERGEFORMAT </w:instrText>
    </w:r>
    <w:r w:rsidRPr="00D40F05">
      <w:rPr>
        <w:rFonts w:ascii="Arial" w:hAnsi="Arial" w:cs="Arial"/>
        <w:sz w:val="16"/>
        <w:szCs w:val="16"/>
      </w:rPr>
      <w:fldChar w:fldCharType="separate"/>
    </w:r>
    <w:r w:rsidR="00BB48B8">
      <w:rPr>
        <w:rFonts w:ascii="Arial" w:hAnsi="Arial" w:cs="Arial"/>
        <w:noProof/>
        <w:sz w:val="16"/>
        <w:szCs w:val="16"/>
      </w:rPr>
      <w:t>C:\Users\ReinhardtD\Documents\01. GIBS - eigene PC-Struktur\0. Neuigkeiten\Neu im 2020.docx</w:t>
    </w:r>
    <w:r w:rsidRPr="00D40F0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C8ADE" w14:textId="77777777" w:rsidR="00826828" w:rsidRDefault="00826828" w:rsidP="00E25FC8">
      <w:pPr>
        <w:spacing w:after="0" w:line="240" w:lineRule="auto"/>
      </w:pPr>
      <w:r>
        <w:separator/>
      </w:r>
    </w:p>
  </w:footnote>
  <w:footnote w:type="continuationSeparator" w:id="0">
    <w:p w14:paraId="2E546D9E" w14:textId="77777777" w:rsidR="00826828" w:rsidRDefault="00826828" w:rsidP="00E25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354E" w14:textId="6C2DC036" w:rsidR="004F25C1" w:rsidRDefault="004F25C1" w:rsidP="004F25C1">
    <w:pPr>
      <w:pStyle w:val="Kopfzeile"/>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5188"/>
      <w:gridCol w:w="1826"/>
    </w:tblGrid>
    <w:tr w:rsidR="00ED7079" w:rsidRPr="00ED7079" w14:paraId="11A1CE93" w14:textId="77777777" w:rsidTr="0090723E">
      <w:tblPrEx>
        <w:tblCellMar>
          <w:top w:w="0" w:type="dxa"/>
          <w:bottom w:w="0" w:type="dxa"/>
        </w:tblCellMar>
      </w:tblPrEx>
      <w:trPr>
        <w:cantSplit/>
        <w:jc w:val="center"/>
      </w:trPr>
      <w:tc>
        <w:tcPr>
          <w:tcW w:w="2015" w:type="dxa"/>
        </w:tcPr>
        <w:p w14:paraId="1881EA15" w14:textId="33026AD1" w:rsidR="00ED7079" w:rsidRPr="00ED7079" w:rsidRDefault="00ED7079" w:rsidP="00ED7079">
          <w:pPr>
            <w:spacing w:after="0" w:line="240" w:lineRule="auto"/>
            <w:rPr>
              <w:rFonts w:ascii="Times New Roman" w:eastAsia="Times New Roman" w:hAnsi="Times New Roman" w:cs="Times New Roman"/>
              <w:sz w:val="24"/>
              <w:szCs w:val="24"/>
            </w:rPr>
          </w:pPr>
          <w:r w:rsidRPr="00ED7079">
            <w:rPr>
              <w:rFonts w:ascii="Times New Roman" w:eastAsia="Times New Roman" w:hAnsi="Times New Roman" w:cs="Times New Roman"/>
              <w:noProof/>
              <w:sz w:val="24"/>
              <w:szCs w:val="24"/>
            </w:rPr>
            <w:drawing>
              <wp:inline distT="0" distB="0" distL="0" distR="0" wp14:anchorId="6B7C3ECB" wp14:editId="1B51FA77">
                <wp:extent cx="1155700" cy="511810"/>
                <wp:effectExtent l="0" t="0" r="6350" b="2540"/>
                <wp:docPr id="6" name="Grafik 6" descr="logo_epai_simple_haute_qua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logo_epai_simple_haute_qualit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11810"/>
                        </a:xfrm>
                        <a:prstGeom prst="rect">
                          <a:avLst/>
                        </a:prstGeom>
                        <a:noFill/>
                        <a:ln>
                          <a:noFill/>
                        </a:ln>
                      </pic:spPr>
                    </pic:pic>
                  </a:graphicData>
                </a:graphic>
              </wp:inline>
            </w:drawing>
          </w:r>
        </w:p>
      </w:tc>
      <w:tc>
        <w:tcPr>
          <w:tcW w:w="6170" w:type="dxa"/>
        </w:tcPr>
        <w:p w14:paraId="0BED3CE4" w14:textId="77777777" w:rsidR="00ED7079" w:rsidRPr="00ED7079" w:rsidRDefault="00ED7079" w:rsidP="00ED7079">
          <w:pPr>
            <w:spacing w:after="0" w:line="240" w:lineRule="auto"/>
            <w:jc w:val="center"/>
            <w:rPr>
              <w:rFonts w:ascii="Century Gothic" w:eastAsia="Times New Roman" w:hAnsi="Century Gothic" w:cs="Arial"/>
              <w:sz w:val="24"/>
              <w:szCs w:val="24"/>
            </w:rPr>
          </w:pPr>
          <w:r w:rsidRPr="00ED7079">
            <w:rPr>
              <w:rFonts w:ascii="Century Gothic" w:eastAsia="Times New Roman" w:hAnsi="Century Gothic" w:cs="Arial"/>
              <w:b/>
              <w:sz w:val="24"/>
              <w:szCs w:val="24"/>
            </w:rPr>
            <w:t>G</w:t>
          </w:r>
          <w:r w:rsidRPr="00ED7079">
            <w:rPr>
              <w:rFonts w:ascii="Century Gothic" w:eastAsia="Times New Roman" w:hAnsi="Century Gothic" w:cs="Arial"/>
              <w:sz w:val="24"/>
              <w:szCs w:val="24"/>
            </w:rPr>
            <w:t xml:space="preserve">ewerbliche und </w:t>
          </w:r>
          <w:proofErr w:type="spellStart"/>
          <w:r w:rsidRPr="00ED7079">
            <w:rPr>
              <w:rFonts w:ascii="Century Gothic" w:eastAsia="Times New Roman" w:hAnsi="Century Gothic" w:cs="Arial"/>
              <w:b/>
              <w:sz w:val="24"/>
              <w:szCs w:val="24"/>
            </w:rPr>
            <w:t>I</w:t>
          </w:r>
          <w:r w:rsidRPr="00ED7079">
            <w:rPr>
              <w:rFonts w:ascii="Century Gothic" w:eastAsia="Times New Roman" w:hAnsi="Century Gothic" w:cs="Arial"/>
              <w:sz w:val="24"/>
              <w:szCs w:val="24"/>
            </w:rPr>
            <w:t>ndustrielle</w:t>
          </w:r>
          <w:proofErr w:type="spellEnd"/>
          <w:r w:rsidRPr="00ED7079">
            <w:rPr>
              <w:rFonts w:ascii="Century Gothic" w:eastAsia="Times New Roman" w:hAnsi="Century Gothic" w:cs="Arial"/>
              <w:sz w:val="24"/>
              <w:szCs w:val="24"/>
            </w:rPr>
            <w:t xml:space="preserve"> </w:t>
          </w:r>
          <w:proofErr w:type="spellStart"/>
          <w:r w:rsidRPr="00ED7079">
            <w:rPr>
              <w:rFonts w:ascii="Century Gothic" w:eastAsia="Times New Roman" w:hAnsi="Century Gothic" w:cs="Arial"/>
              <w:b/>
              <w:sz w:val="24"/>
              <w:szCs w:val="24"/>
            </w:rPr>
            <w:t>B</w:t>
          </w:r>
          <w:r w:rsidRPr="00ED7079">
            <w:rPr>
              <w:rFonts w:ascii="Century Gothic" w:eastAsia="Times New Roman" w:hAnsi="Century Gothic" w:cs="Arial"/>
              <w:sz w:val="24"/>
              <w:szCs w:val="24"/>
            </w:rPr>
            <w:t>erufsfach</w:t>
          </w:r>
          <w:r w:rsidRPr="00ED7079">
            <w:rPr>
              <w:rFonts w:ascii="Century Gothic" w:eastAsia="Times New Roman" w:hAnsi="Century Gothic" w:cs="Arial"/>
              <w:b/>
              <w:sz w:val="24"/>
              <w:szCs w:val="24"/>
            </w:rPr>
            <w:t>S</w:t>
          </w:r>
          <w:r w:rsidRPr="00ED7079">
            <w:rPr>
              <w:rFonts w:ascii="Century Gothic" w:eastAsia="Times New Roman" w:hAnsi="Century Gothic" w:cs="Arial"/>
              <w:sz w:val="24"/>
              <w:szCs w:val="24"/>
            </w:rPr>
            <w:t>chule</w:t>
          </w:r>
          <w:proofErr w:type="spellEnd"/>
          <w:r w:rsidRPr="00ED7079">
            <w:rPr>
              <w:rFonts w:ascii="Century Gothic" w:eastAsia="Times New Roman" w:hAnsi="Century Gothic" w:cs="Arial"/>
              <w:sz w:val="24"/>
              <w:szCs w:val="24"/>
            </w:rPr>
            <w:t xml:space="preserve"> Freiburg</w:t>
          </w:r>
        </w:p>
      </w:tc>
      <w:tc>
        <w:tcPr>
          <w:tcW w:w="2085" w:type="dxa"/>
          <w:shd w:val="clear" w:color="auto" w:fill="auto"/>
        </w:tcPr>
        <w:p w14:paraId="2745BBD7" w14:textId="77777777" w:rsidR="00ED7079" w:rsidRPr="00ED7079" w:rsidRDefault="00ED7079" w:rsidP="00ED7079">
          <w:pPr>
            <w:spacing w:after="0" w:line="240" w:lineRule="auto"/>
            <w:jc w:val="center"/>
            <w:rPr>
              <w:rFonts w:ascii="Arial" w:eastAsia="Times New Roman" w:hAnsi="Arial" w:cs="Arial"/>
              <w:sz w:val="24"/>
              <w:szCs w:val="24"/>
              <w:lang w:val="de-DE"/>
            </w:rPr>
          </w:pPr>
        </w:p>
        <w:p w14:paraId="7CD1A487" w14:textId="6270221E" w:rsidR="00ED7079" w:rsidRPr="00ED7079" w:rsidRDefault="00ED7079" w:rsidP="00FE2BBF">
          <w:pPr>
            <w:spacing w:after="0" w:line="240" w:lineRule="auto"/>
            <w:jc w:val="center"/>
            <w:rPr>
              <w:rFonts w:ascii="Century Gothic" w:eastAsia="Times New Roman" w:hAnsi="Century Gothic" w:cs="Arial"/>
              <w:lang w:val="de-DE"/>
            </w:rPr>
          </w:pPr>
          <w:r w:rsidRPr="00ED7079">
            <w:rPr>
              <w:rFonts w:ascii="Century Gothic" w:eastAsia="Times New Roman" w:hAnsi="Century Gothic" w:cs="Arial"/>
              <w:lang w:val="de-DE"/>
            </w:rPr>
            <w:t>RD/</w:t>
          </w:r>
          <w:r w:rsidRPr="00ED7079">
            <w:rPr>
              <w:rFonts w:ascii="Century Gothic" w:eastAsia="Times New Roman" w:hAnsi="Century Gothic" w:cs="Arial"/>
              <w:b/>
              <w:bCs/>
              <w:lang w:val="de-DE"/>
            </w:rPr>
            <w:t>ABU</w:t>
          </w:r>
          <w:r w:rsidRPr="00ED7079">
            <w:rPr>
              <w:rFonts w:ascii="Century Gothic" w:eastAsia="Times New Roman" w:hAnsi="Century Gothic" w:cs="Arial"/>
              <w:lang w:val="de-DE"/>
            </w:rPr>
            <w:t xml:space="preserve"> –</w:t>
          </w:r>
          <w:r w:rsidR="00FE2BBF">
            <w:rPr>
              <w:rFonts w:ascii="Century Gothic" w:eastAsia="Times New Roman" w:hAnsi="Century Gothic" w:cs="Arial"/>
              <w:lang w:val="de-DE"/>
            </w:rPr>
            <w:t xml:space="preserve"> </w:t>
          </w:r>
          <w:r w:rsidRPr="00ED7079">
            <w:rPr>
              <w:rFonts w:ascii="Century Gothic" w:eastAsia="Times New Roman" w:hAnsi="Century Gothic" w:cs="Arial"/>
              <w:lang w:val="de-DE"/>
            </w:rPr>
            <w:t>R&amp;G</w:t>
          </w:r>
        </w:p>
      </w:tc>
    </w:tr>
    <w:tr w:rsidR="00ED7079" w:rsidRPr="00ED7079" w14:paraId="5A21E837" w14:textId="77777777" w:rsidTr="0090723E">
      <w:tblPrEx>
        <w:tblCellMar>
          <w:top w:w="0" w:type="dxa"/>
          <w:bottom w:w="0" w:type="dxa"/>
        </w:tblCellMar>
      </w:tblPrEx>
      <w:trPr>
        <w:cantSplit/>
        <w:jc w:val="center"/>
      </w:trPr>
      <w:tc>
        <w:tcPr>
          <w:tcW w:w="2015" w:type="dxa"/>
          <w:vAlign w:val="center"/>
        </w:tcPr>
        <w:p w14:paraId="077E96E0" w14:textId="38E4BE6C" w:rsidR="00ED7079" w:rsidRPr="00ED7079" w:rsidRDefault="00FE2BBF" w:rsidP="00FE2BBF">
          <w:pPr>
            <w:keepNext/>
            <w:spacing w:after="0" w:line="240" w:lineRule="auto"/>
            <w:jc w:val="center"/>
            <w:outlineLvl w:val="0"/>
            <w:rPr>
              <w:rFonts w:ascii="Arial Narrow" w:eastAsia="Times New Roman" w:hAnsi="Arial Narrow" w:cs="Times New Roman"/>
              <w:bCs/>
              <w:sz w:val="16"/>
              <w:szCs w:val="16"/>
              <w:lang w:val="de-DE"/>
            </w:rPr>
          </w:pPr>
          <w:r>
            <w:rPr>
              <w:rFonts w:ascii="Arial Narrow" w:eastAsia="Times New Roman" w:hAnsi="Arial Narrow" w:cs="Times New Roman"/>
              <w:bCs/>
              <w:sz w:val="16"/>
              <w:szCs w:val="16"/>
              <w:lang w:val="de-DE"/>
            </w:rPr>
            <w:t>Alle Lehrjahre</w:t>
          </w:r>
        </w:p>
      </w:tc>
      <w:tc>
        <w:tcPr>
          <w:tcW w:w="6170" w:type="dxa"/>
          <w:vAlign w:val="center"/>
        </w:tcPr>
        <w:p w14:paraId="1E6ECF11" w14:textId="5184702B" w:rsidR="00ED7079" w:rsidRPr="00ED7079" w:rsidRDefault="00ED7079" w:rsidP="00ED7079">
          <w:pPr>
            <w:keepNext/>
            <w:tabs>
              <w:tab w:val="left" w:pos="4190"/>
            </w:tabs>
            <w:spacing w:after="0" w:line="240" w:lineRule="auto"/>
            <w:jc w:val="center"/>
            <w:outlineLvl w:val="0"/>
            <w:rPr>
              <w:rFonts w:ascii="Century Gothic" w:eastAsia="Times New Roman" w:hAnsi="Century Gothic" w:cs="Times New Roman"/>
              <w:bCs/>
              <w:sz w:val="16"/>
              <w:szCs w:val="16"/>
            </w:rPr>
          </w:pPr>
          <w:r w:rsidRPr="00FE2BBF">
            <w:rPr>
              <w:rFonts w:ascii="Century Gothic" w:eastAsia="Times New Roman" w:hAnsi="Century Gothic" w:cs="Times New Roman"/>
              <w:bCs/>
              <w:sz w:val="16"/>
              <w:szCs w:val="16"/>
            </w:rPr>
            <w:t>«  Informationen – 2020  »</w:t>
          </w:r>
        </w:p>
      </w:tc>
      <w:tc>
        <w:tcPr>
          <w:tcW w:w="2085" w:type="dxa"/>
          <w:shd w:val="clear" w:color="auto" w:fill="auto"/>
          <w:vAlign w:val="center"/>
        </w:tcPr>
        <w:p w14:paraId="1C0A81CA" w14:textId="616AE0D1" w:rsidR="00FE2BBF" w:rsidRPr="00ED7079" w:rsidRDefault="00FE2BBF" w:rsidP="00ED7079">
          <w:pPr>
            <w:spacing w:after="0" w:line="240" w:lineRule="auto"/>
            <w:rPr>
              <w:rFonts w:ascii="Century Gothic" w:eastAsia="Times New Roman" w:hAnsi="Century Gothic" w:cs="Times New Roman"/>
              <w:sz w:val="16"/>
              <w:szCs w:val="16"/>
            </w:rPr>
          </w:pPr>
          <w:r>
            <w:rPr>
              <w:rFonts w:ascii="Century Gothic" w:eastAsia="Times New Roman" w:hAnsi="Century Gothic" w:cs="Times New Roman"/>
              <w:sz w:val="16"/>
              <w:szCs w:val="16"/>
            </w:rPr>
            <w:t>03.01.2020</w:t>
          </w:r>
        </w:p>
      </w:tc>
    </w:tr>
  </w:tbl>
  <w:p w14:paraId="37647477" w14:textId="5BBFE335" w:rsidR="004F25C1" w:rsidRDefault="004F25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B5C12"/>
    <w:multiLevelType w:val="hybridMultilevel"/>
    <w:tmpl w:val="F5C668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76"/>
    <w:rsid w:val="000271EC"/>
    <w:rsid w:val="000411BB"/>
    <w:rsid w:val="00081697"/>
    <w:rsid w:val="0013022A"/>
    <w:rsid w:val="00175D71"/>
    <w:rsid w:val="00176BD3"/>
    <w:rsid w:val="001907A3"/>
    <w:rsid w:val="00272C66"/>
    <w:rsid w:val="003D6E22"/>
    <w:rsid w:val="00435D26"/>
    <w:rsid w:val="004676BE"/>
    <w:rsid w:val="004D6420"/>
    <w:rsid w:val="004F25C1"/>
    <w:rsid w:val="00517ED2"/>
    <w:rsid w:val="005F18A6"/>
    <w:rsid w:val="00791FEE"/>
    <w:rsid w:val="00826828"/>
    <w:rsid w:val="0097304A"/>
    <w:rsid w:val="009A3784"/>
    <w:rsid w:val="00A3190C"/>
    <w:rsid w:val="00AD6D87"/>
    <w:rsid w:val="00AF0070"/>
    <w:rsid w:val="00BB48B8"/>
    <w:rsid w:val="00BF6876"/>
    <w:rsid w:val="00CF1A9E"/>
    <w:rsid w:val="00D40F05"/>
    <w:rsid w:val="00D850DF"/>
    <w:rsid w:val="00E25FC8"/>
    <w:rsid w:val="00E56802"/>
    <w:rsid w:val="00EB552D"/>
    <w:rsid w:val="00ED7079"/>
    <w:rsid w:val="00F11C66"/>
    <w:rsid w:val="00FE2B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E316E"/>
  <w15:chartTrackingRefBased/>
  <w15:docId w15:val="{6231F903-78C3-4905-8945-3AF5051D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4F25C1"/>
    <w:pPr>
      <w:keepNext/>
      <w:spacing w:after="0" w:line="240" w:lineRule="auto"/>
      <w:jc w:val="center"/>
      <w:outlineLvl w:val="0"/>
    </w:pPr>
    <w:rPr>
      <w:rFonts w:ascii="Arial Narrow" w:eastAsia="Times New Roman" w:hAnsi="Arial Narrow" w:cs="Times New Roman"/>
      <w:b/>
      <w:bCs/>
      <w:sz w:val="28"/>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022A"/>
    <w:pPr>
      <w:ind w:left="720"/>
      <w:contextualSpacing/>
    </w:pPr>
  </w:style>
  <w:style w:type="paragraph" w:customStyle="1" w:styleId="bodytext">
    <w:name w:val="bodytext"/>
    <w:basedOn w:val="Standard"/>
    <w:rsid w:val="00435D2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nhideWhenUsed/>
    <w:rsid w:val="00E25FC8"/>
    <w:pPr>
      <w:tabs>
        <w:tab w:val="center" w:pos="4536"/>
        <w:tab w:val="right" w:pos="9072"/>
      </w:tabs>
      <w:spacing w:after="0" w:line="240" w:lineRule="auto"/>
    </w:pPr>
  </w:style>
  <w:style w:type="character" w:customStyle="1" w:styleId="KopfzeileZchn">
    <w:name w:val="Kopfzeile Zchn"/>
    <w:basedOn w:val="Absatz-Standardschriftart"/>
    <w:link w:val="Kopfzeile"/>
    <w:rsid w:val="00E25FC8"/>
  </w:style>
  <w:style w:type="paragraph" w:styleId="Fuzeile">
    <w:name w:val="footer"/>
    <w:basedOn w:val="Standard"/>
    <w:link w:val="FuzeileZchn"/>
    <w:uiPriority w:val="99"/>
    <w:unhideWhenUsed/>
    <w:rsid w:val="00E25F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5FC8"/>
  </w:style>
  <w:style w:type="character" w:customStyle="1" w:styleId="berschrift1Zchn">
    <w:name w:val="Überschrift 1 Zchn"/>
    <w:basedOn w:val="Absatz-Standardschriftart"/>
    <w:link w:val="berschrift1"/>
    <w:rsid w:val="004F25C1"/>
    <w:rPr>
      <w:rFonts w:ascii="Arial Narrow" w:eastAsia="Times New Roman" w:hAnsi="Arial Narrow" w:cs="Times New Roman"/>
      <w:b/>
      <w:bCs/>
      <w:sz w:val="28"/>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810172">
      <w:bodyDiv w:val="1"/>
      <w:marLeft w:val="0"/>
      <w:marRight w:val="0"/>
      <w:marTop w:val="0"/>
      <w:marBottom w:val="0"/>
      <w:divBdr>
        <w:top w:val="none" w:sz="0" w:space="0" w:color="auto"/>
        <w:left w:val="none" w:sz="0" w:space="0" w:color="auto"/>
        <w:bottom w:val="none" w:sz="0" w:space="0" w:color="auto"/>
        <w:right w:val="none" w:sz="0" w:space="0" w:color="auto"/>
      </w:divBdr>
    </w:div>
    <w:div w:id="15741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F358E-5C58-4E12-AD16-3510CE93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7677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ReinhardtD</dc:creator>
  <cp:keywords/>
  <dc:description/>
  <cp:lastModifiedBy>ReinhardtD</cp:lastModifiedBy>
  <cp:revision>8</cp:revision>
  <cp:lastPrinted>2020-01-03T14:26:00Z</cp:lastPrinted>
  <dcterms:created xsi:type="dcterms:W3CDTF">2020-01-03T14:19:00Z</dcterms:created>
  <dcterms:modified xsi:type="dcterms:W3CDTF">2020-01-03T14:26:00Z</dcterms:modified>
</cp:coreProperties>
</file>