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B8" w:rsidRPr="00690AB8" w:rsidRDefault="00690AB8" w:rsidP="00690AB8">
      <w:pPr>
        <w:spacing w:after="80"/>
        <w:rPr>
          <w:rFonts w:asciiTheme="majorHAnsi" w:hAnsiTheme="majorHAnsi"/>
          <w:sz w:val="20"/>
          <w:szCs w:val="20"/>
          <w:lang w:eastAsia="de-DE"/>
        </w:rPr>
      </w:pPr>
      <w:bookmarkStart w:id="0" w:name="_GoBack"/>
      <w:bookmarkEnd w:id="0"/>
      <w:r w:rsidRPr="00690AB8">
        <w:rPr>
          <w:rFonts w:asciiTheme="majorHAnsi" w:eastAsia="Times New Roman" w:hAnsiTheme="majorHAnsi"/>
          <w:sz w:val="20"/>
          <w:szCs w:val="20"/>
          <w:lang w:eastAsia="de-DE"/>
        </w:rPr>
        <w:t xml:space="preserve">Tages Anzeiger vom 12. 05. 2015, Sozial &amp; Sicher; </w:t>
      </w:r>
      <w:r w:rsidRPr="00690AB8">
        <w:rPr>
          <w:rFonts w:asciiTheme="majorHAnsi" w:eastAsia="Times New Roman" w:hAnsiTheme="majorHAnsi"/>
          <w:i/>
          <w:sz w:val="20"/>
          <w:szCs w:val="20"/>
          <w:lang w:eastAsia="de-DE"/>
        </w:rPr>
        <w:t xml:space="preserve">Text: </w:t>
      </w:r>
      <w:r w:rsidRPr="00690AB8">
        <w:rPr>
          <w:rFonts w:asciiTheme="majorHAnsi" w:hAnsiTheme="majorHAnsi"/>
          <w:i/>
          <w:sz w:val="20"/>
          <w:szCs w:val="20"/>
          <w:lang w:eastAsia="de-DE"/>
        </w:rPr>
        <w:t>Thomas Müller</w:t>
      </w:r>
      <w:r w:rsidRPr="00690AB8">
        <w:rPr>
          <w:rFonts w:asciiTheme="majorHAnsi" w:hAnsiTheme="majorHAnsi"/>
          <w:sz w:val="20"/>
          <w:szCs w:val="20"/>
          <w:lang w:eastAsia="de-DE"/>
        </w:rPr>
        <w:t xml:space="preserve"> / </w:t>
      </w:r>
      <w:r w:rsidRPr="00690AB8">
        <w:rPr>
          <w:rFonts w:asciiTheme="majorHAnsi" w:eastAsia="Times New Roman" w:hAnsiTheme="majorHAnsi"/>
          <w:i/>
          <w:iCs/>
          <w:sz w:val="20"/>
          <w:szCs w:val="20"/>
          <w:lang w:eastAsia="de-DE"/>
        </w:rPr>
        <w:t>Foto: Flirt (Alamy)</w:t>
      </w:r>
    </w:p>
    <w:p w:rsidR="00690AB8" w:rsidRPr="00690AB8" w:rsidRDefault="00690AB8" w:rsidP="00690AB8">
      <w:pPr>
        <w:spacing w:after="80"/>
        <w:outlineLvl w:val="0"/>
        <w:rPr>
          <w:rFonts w:asciiTheme="majorHAnsi" w:eastAsia="Times New Roman" w:hAnsiTheme="majorHAnsi"/>
          <w:b/>
          <w:bCs/>
          <w:kern w:val="36"/>
          <w:sz w:val="48"/>
          <w:szCs w:val="48"/>
          <w:lang w:eastAsia="de-DE"/>
        </w:rPr>
      </w:pPr>
      <w:r w:rsidRPr="00690AB8">
        <w:rPr>
          <w:rFonts w:asciiTheme="majorHAnsi" w:eastAsia="Times New Roman" w:hAnsiTheme="majorHAnsi"/>
          <w:b/>
          <w:bCs/>
          <w:kern w:val="36"/>
          <w:sz w:val="48"/>
          <w:szCs w:val="48"/>
          <w:lang w:eastAsia="de-DE"/>
        </w:rPr>
        <w:t>Geschwistern darf man den Erbteil streichen</w:t>
      </w:r>
    </w:p>
    <w:p w:rsidR="00690AB8" w:rsidRPr="00690AB8" w:rsidRDefault="00690AB8" w:rsidP="00690AB8">
      <w:pPr>
        <w:spacing w:after="80"/>
        <w:rPr>
          <w:rFonts w:asciiTheme="majorHAnsi" w:hAnsiTheme="majorHAnsi"/>
          <w:b/>
          <w:i/>
          <w:sz w:val="20"/>
          <w:szCs w:val="20"/>
          <w:lang w:eastAsia="de-DE"/>
        </w:rPr>
        <w:sectPr w:rsidR="00690AB8" w:rsidRPr="00690AB8" w:rsidSect="00DA7684">
          <w:headerReference w:type="default" r:id="rId7"/>
          <w:headerReference w:type="first" r:id="rId8"/>
          <w:type w:val="continuous"/>
          <w:pgSz w:w="11906" w:h="16838"/>
          <w:pgMar w:top="851" w:right="707" w:bottom="851" w:left="1134" w:header="720" w:footer="851" w:gutter="0"/>
          <w:cols w:space="708"/>
          <w:titlePg/>
        </w:sectPr>
      </w:pPr>
      <w:r w:rsidRPr="00690AB8">
        <w:rPr>
          <w:rFonts w:asciiTheme="majorHAnsi" w:hAnsiTheme="majorHAnsi"/>
          <w:b/>
          <w:i/>
          <w:sz w:val="20"/>
          <w:szCs w:val="20"/>
          <w:lang w:eastAsia="de-DE"/>
        </w:rPr>
        <w:t>Die bevorstehende Abstimmung über die Erbschaftssteuer-Initiative bewegt die Gemüter. Doch wie ist das überhaupt mit dem Erben in der Schweiz? Welche Angehörigen erhalten welchen Teil des Nachlasses und wie hoch sind ihre Pflichtteile?</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Das Erbrecht ist für viele ein Buch mit sieben Siegeln. Dabei ist es gar nicht so schwierig, herauszufinden, wer in einer bestimmten Familienkonstellation von Gesetzes wegen etwas erbt und wer nicht. Es genügt, einige Regeln zu kennen, mit denen sich auch vermeintlich schwierige Fälle lösen lassen.</w:t>
      </w:r>
    </w:p>
    <w:p w:rsidR="00690AB8" w:rsidRPr="00690AB8" w:rsidRDefault="00690AB8" w:rsidP="00690AB8">
      <w:pPr>
        <w:spacing w:after="80"/>
        <w:rPr>
          <w:rFonts w:asciiTheme="majorHAnsi" w:hAnsiTheme="majorHAnsi"/>
          <w:sz w:val="20"/>
          <w:szCs w:val="20"/>
          <w:lang w:eastAsia="de-DE"/>
        </w:rPr>
      </w:pPr>
      <w:r w:rsidRPr="00690AB8">
        <w:rPr>
          <w:rFonts w:asciiTheme="majorHAnsi" w:eastAsia="Times New Roman" w:hAnsiTheme="majorHAnsi"/>
          <w:noProof/>
          <w:lang w:val="fr-CH" w:eastAsia="fr-CH"/>
        </w:rPr>
        <w:drawing>
          <wp:inline distT="0" distB="0" distL="0" distR="0" wp14:anchorId="381E885D" wp14:editId="0662300F">
            <wp:extent cx="2916790" cy="3867461"/>
            <wp:effectExtent l="0" t="0" r="4445" b="0"/>
            <wp:docPr id="1" name="Bild 1" descr="https://s3-eu-west-1.amazonaws.com/tamedia-tagi-epaper-prod/0002BA7F_4F7A67DCC195CF59D3FC303AC0428189?AWSAccessKeyId=AKIAJ5WWTYDKTO2IQAZQ&amp;Signature=Zw027rM3a%2FbUUZ4URyN1fXs0CSg%3D&amp;Expires=1431411838&amp;response-cache-control=max-age%3D2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amedia-tagi-epaper-prod/0002BA7F_4F7A67DCC195CF59D3FC303AC0428189?AWSAccessKeyId=AKIAJ5WWTYDKTO2IQAZQ&amp;Signature=Zw027rM3a%2FbUUZ4URyN1fXs0CSg%3D&amp;Expires=1431411838&amp;response-cache-control=max-age%3D21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750" cy="3870059"/>
                    </a:xfrm>
                    <a:prstGeom prst="rect">
                      <a:avLst/>
                    </a:prstGeom>
                    <a:noFill/>
                    <a:ln>
                      <a:noFill/>
                    </a:ln>
                  </pic:spPr>
                </pic:pic>
              </a:graphicData>
            </a:graphic>
          </wp:inline>
        </w:drawing>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Wichtig ist zunächst, ob der Erblasser verheiratet war oder nicht. Denn Ehegatten zählen wie auch eingetragene Partnerinnen und Partner – immer zu den Erben. Wie viel sie bekommen, hängt davon ab, mit welchen anderen gesetzlichen Erben sie den Nachlass teilen müssen. Sind es Nachkommen, steht ihnen die Hälfte zu. Sind es Eltern, Geschwister, Neffen oder Nichten, drei Viertel. Wenn keine solchen Verwandten des Erblassers (mehr) da sind, erben Ehegatten und eingetragene Partnerinnen den ganzen Nachlass.</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Alles, was nicht an den Ehegatten oder den eingetragenen Partner geht bei Unverheirateten und Konkubinatspartnern also der gesamte Nachlass –, erben die Blutsverwandten. Sie werden in drei «Stämme» eingeteilt, je nachdem, wie sie mit dem Erblasser verwandt sind:</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Erster Stamm: Kinder, Enkel, Urenkel (Stamm des Erblassers).</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Zweiter Stamm: Eltern, Geschwister, Neffen/Nichten (elterlicher Stamm).</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Dritter Stamm: Grosseltern, Tanten/Onkel, Cousins/Cousinen (grosselterlicher Stamm).</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Mit dem dritten Stamm endet die gesetzliche Erbfolge. Sind nur noch weiter entfernte Verwandte da, so erben nicht sie, sondern der Staat.</w:t>
      </w:r>
    </w:p>
    <w:p w:rsidR="00690AB8" w:rsidRPr="00690AB8" w:rsidRDefault="00690AB8" w:rsidP="00690AB8">
      <w:pPr>
        <w:spacing w:after="80"/>
        <w:outlineLvl w:val="1"/>
        <w:rPr>
          <w:rFonts w:asciiTheme="majorHAnsi" w:eastAsia="Times New Roman" w:hAnsiTheme="majorHAnsi"/>
          <w:b/>
          <w:bCs/>
          <w:sz w:val="36"/>
          <w:szCs w:val="36"/>
          <w:lang w:eastAsia="de-DE"/>
        </w:rPr>
      </w:pPr>
      <w:r w:rsidRPr="00690AB8">
        <w:rPr>
          <w:rFonts w:asciiTheme="majorHAnsi" w:eastAsia="Times New Roman" w:hAnsiTheme="majorHAnsi"/>
          <w:b/>
          <w:bCs/>
          <w:sz w:val="36"/>
          <w:szCs w:val="36"/>
          <w:lang w:eastAsia="de-DE"/>
        </w:rPr>
        <w:t>Kinder haben Vorrang</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Bei der Verteilung des Nachlasses gilt: Der nähere Stamm schliesst sämtliche entfernteren vom Erbrecht aus. Sind also Kinder oder Enkel vorhanden (erster Stamm), scheiden alle anderen Verwandten als Erben aus. Der zweite Stamm kommt nur zum Zug, wenn keine Nachkommen da sind, der dritte nur, wenn darüber hinaus auch keine Eltern, Geschwister oder Neffen/Nichten des Verstorbenen mehr leben.</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Auch innerhalb eines Stamms ist die oben erwähnte Reihenfolge strikt einzuhalten. Die zuerst genannten Verwandten schliessen die später genannten aus. Sind zum Beispiel Kinder vorhanden, gehen die Enkel leer aus. Diese erben nur, wenn ein Kind des Erblassers bereits verstorben ist. Dann fällt ihnen der Erbteil ihres Vaters oder ihrer Mutter zu.</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Diese Regeln räumen mit einigen Irrtümern auf. «Kinderlose Ehepaare glauben etwa oft, beim Tod der einen Seite erbe die andere automatisch alles», stellt der auf Erbrecht spezialisierte Rechtsanwalt und Notar Benno Studer fest. Dabei sind es wie erwähnt nur drei Viertel, wenn Eltern, Geschwister oder Neffen/Nichten vorhanden sind. «Das verbleibende Viertel lässt sich mit einem Testament, Ehe- oder Erbvertrag ebenfalls dem überlebenden Ehegatten zuweisen», sagt Studer. «Falls noch Eltern da sind, muss das Ehepaar dafür allerdings Gütergemeinschaft vereinbaren und das gesamte Vermögen dem überlebenden Ehegatten zuweisen.»</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Handlungsbedarf sieht der Verfasser des Ratgeberbuches «Testament, Erbschaft: Wie Sie klare und faire Verhältnisse schaffen» auch für Patchworkfamilien, bei denen der Mann und/oder die Frau Kinder aus früheren Beziehungen in die Ehe mitgebracht haben. «Das Erbrecht führt hier oft zu ungewollten Ergebnissen», so Studer.</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Ein Beispiel: Peter A. hat aus einer geschiedenen Ehe zwei Kinder. Er heiratet erneut und hat mit seiner zweiten Ehefrau drei weitere Kinder. Als A. stirbt, erbt seine Frau die Hälfte, seine fünf leiblichen Kinder die andere Hälfte des Nachlasses, also jedes Kind ein Zehntel. Stirbt nun auch die Ehefrau, geht ihr ganzes Vermögen auch der Teil, den sie von ihrem Mann geerbt hat – nur noch an ihre eigenen Kinder. Ihre Stiefkinder aus A.s erster Ehe gehen leer aus, weil sie mit ihr nicht blutsverwandt sind.</w:t>
      </w:r>
    </w:p>
    <w:p w:rsidR="00690AB8" w:rsidRPr="00690AB8" w:rsidRDefault="00690AB8" w:rsidP="00690AB8">
      <w:pPr>
        <w:spacing w:after="80"/>
        <w:outlineLvl w:val="1"/>
        <w:rPr>
          <w:rFonts w:asciiTheme="majorHAnsi" w:eastAsia="Times New Roman" w:hAnsiTheme="majorHAnsi"/>
          <w:b/>
          <w:bCs/>
          <w:sz w:val="36"/>
          <w:szCs w:val="36"/>
          <w:lang w:eastAsia="de-DE"/>
        </w:rPr>
      </w:pPr>
      <w:r w:rsidRPr="00690AB8">
        <w:rPr>
          <w:rFonts w:asciiTheme="majorHAnsi" w:eastAsia="Times New Roman" w:hAnsiTheme="majorHAnsi"/>
          <w:b/>
          <w:bCs/>
          <w:sz w:val="36"/>
          <w:szCs w:val="36"/>
          <w:lang w:eastAsia="de-DE"/>
        </w:rPr>
        <w:t>Verzicht notariell beurkunden</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 xml:space="preserve">Solche Folgen lassen sich vermeiden, indem man in einem Testament, Ehe- oder Erbvertrag eine individuelle Lösung trifft. Bei Adoptivkindern und vom Vater anerkannten </w:t>
      </w:r>
      <w:r w:rsidRPr="00690AB8">
        <w:rPr>
          <w:rFonts w:asciiTheme="majorHAnsi" w:hAnsiTheme="majorHAnsi"/>
          <w:sz w:val="20"/>
          <w:szCs w:val="20"/>
          <w:lang w:eastAsia="de-DE"/>
        </w:rPr>
        <w:lastRenderedPageBreak/>
        <w:t>ausserehelichen Kindern ist das nicht nötig; sie sind ehelichen Kindern erbrechtlich gleichgestellt.</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Vom Gesetz abweichende Regelungen können aber nicht nur dazu dienen, Ungerechtigkeiten zu verhindern. Damit lassen sich auch gesetzliche Erben zusätzlich begünstigen oder Dritte ausserhalb des Verwandtenkreises als Erben einsetzen. Völlig frei ist man dabei allerdings nicht, denn einen bestimmten Teil des Erbanspruchs darf man gesetzlichen Erben nicht entziehen, den sogenannten Pflichtteil. Beträgt dieser beispielsweise drei Viertel, so bedeutet das, dass man dem betreffenden Erben nur ein Viertel seines gesetzlichen Anspruchs wegnehmen und ihn anderen Personen oder Institutionen zuweisen darf. Dieser Teil heisst «verfügbare Quote».</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Nicht alle Erben profitieren freilich von einem Pflichtteilschutz, sondern nur Nachkommen, Eltern und Ehegatten. Letzteren gleichgestellt sind eingetragene Partner. Bei Nachkommen beträgt der Pflichtteil drei Viertel, bei Ehegatten und Eltern je ein Viertel. Geschwistern hingegen darf man den ganzen gesetzlichen Erbteil vorenthalten. Die Tabelle zeigt, wie hoch die gesetzlichen Erbteile und die Pflichtteile bei bestimmten Familienkonstellationen sind.</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Laut Erbrechtsspezialist Benno Studer kommt es oft vor, dass jemand ein Testament aufsetzt, ohne die Pflichtteile zu beachten. Etwa dann, wenn sich Eltern gegenseitig als Allein</w:t>
      </w:r>
      <w:r w:rsidRPr="00690AB8">
        <w:rPr>
          <w:rFonts w:asciiTheme="majorHAnsi" w:hAnsiTheme="majorHAnsi"/>
          <w:sz w:val="20"/>
          <w:szCs w:val="20"/>
          <w:lang w:eastAsia="de-DE"/>
        </w:rPr>
        <w:softHyphen/>
        <w:t xml:space="preserve">erben einsetzen. «Die Kinder sollen warten, bis auch </w:t>
      </w:r>
      <w:r w:rsidRPr="00690AB8">
        <w:rPr>
          <w:rFonts w:asciiTheme="majorHAnsi" w:hAnsiTheme="majorHAnsi"/>
          <w:sz w:val="20"/>
          <w:szCs w:val="20"/>
          <w:lang w:eastAsia="de-DE"/>
        </w:rPr>
        <w:t>der zweite Elternteil verstorben ist, lautet dann die Devise», so Studer. «Viele Kinder sind damit einverstanden, doch sie können sich auch wehren ausser sie haben in einem Vertrag mit den Eltern auf den Pflichtteil verzichtet.»</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Ein solcher Erbverzichtsvertrag muss von allen Beteiligten unterschrieben und notariell beurkundet werden. Laut Medienberichten hatte der kürzlich verstorbene Kunstmaler Hans Erni mit einer seiner Töchter einen Verzichtsvertrag abgeschlossen. Sie erbt nun nichts.</w:t>
      </w:r>
    </w:p>
    <w:p w:rsidR="00690AB8" w:rsidRPr="00690AB8" w:rsidRDefault="00690AB8" w:rsidP="00690AB8">
      <w:pPr>
        <w:spacing w:after="80"/>
        <w:outlineLvl w:val="1"/>
        <w:rPr>
          <w:rFonts w:asciiTheme="majorHAnsi" w:eastAsia="Times New Roman" w:hAnsiTheme="majorHAnsi"/>
          <w:b/>
          <w:bCs/>
          <w:sz w:val="36"/>
          <w:szCs w:val="36"/>
          <w:lang w:eastAsia="de-DE"/>
        </w:rPr>
      </w:pPr>
      <w:r w:rsidRPr="00690AB8">
        <w:rPr>
          <w:rFonts w:asciiTheme="majorHAnsi" w:eastAsia="Times New Roman" w:hAnsiTheme="majorHAnsi"/>
          <w:b/>
          <w:bCs/>
          <w:sz w:val="36"/>
          <w:szCs w:val="36"/>
          <w:lang w:eastAsia="de-DE"/>
        </w:rPr>
        <w:t>Enterben ist selten zulässig</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Um einen Erben auf den Pflichtteil zu setzen, braucht es keine Begründung. Ganz anders bei einer Enterbung, wo die Gründe im Testament anzugeben sind. Sie ist nur erlaubt, wenn der Erbe eine schwere Straftat gegen den Erblasser oder eine ihm nahestehende Person begangen hat, oder wenn er seine familienrechtlichen Pflichten gegenüber dem Erblasser oder dessen Angehörigen schwer verletzt hat. Ein Kontaktabbruch, berufliches Versagen des Sohnes oder eine missliebige Heirat der Tochter genügen nicht.</w:t>
      </w:r>
    </w:p>
    <w:p w:rsidR="00690AB8" w:rsidRPr="00690AB8" w:rsidRDefault="00690AB8" w:rsidP="00690AB8">
      <w:pPr>
        <w:spacing w:after="80"/>
        <w:rPr>
          <w:rFonts w:asciiTheme="majorHAnsi" w:hAnsiTheme="majorHAnsi"/>
          <w:sz w:val="20"/>
          <w:szCs w:val="20"/>
          <w:lang w:eastAsia="de-DE"/>
        </w:rPr>
      </w:pPr>
      <w:r w:rsidRPr="00690AB8">
        <w:rPr>
          <w:rFonts w:asciiTheme="majorHAnsi" w:hAnsiTheme="majorHAnsi"/>
          <w:sz w:val="20"/>
          <w:szCs w:val="20"/>
          <w:lang w:eastAsia="de-DE"/>
        </w:rPr>
        <w:t>Enterbte Personen können sich vor Gericht wehren. Bei einem Erfolg erhalten sie wenigstens den Pflichtteil. Sonst fällt ihr Anteil an die gesetzlichen Erben. Dem Erblasser steht es aber auch frei, einen anderen Erben einzusetzen.</w:t>
      </w:r>
    </w:p>
    <w:p w:rsidR="00690AB8" w:rsidRDefault="00690AB8" w:rsidP="00690AB8">
      <w:pPr>
        <w:widowControl w:val="0"/>
        <w:autoSpaceDE w:val="0"/>
        <w:autoSpaceDN w:val="0"/>
        <w:adjustRightInd w:val="0"/>
        <w:spacing w:after="80"/>
        <w:rPr>
          <w:rFonts w:asciiTheme="majorHAnsi" w:hAnsiTheme="majorHAnsi"/>
        </w:rPr>
        <w:sectPr w:rsidR="00690AB8" w:rsidSect="00690AB8">
          <w:type w:val="continuous"/>
          <w:pgSz w:w="11906" w:h="16838"/>
          <w:pgMar w:top="851" w:right="707" w:bottom="851" w:left="1134" w:header="720" w:footer="851" w:gutter="0"/>
          <w:cols w:num="2" w:space="454"/>
          <w:titlePg/>
        </w:sectPr>
      </w:pPr>
    </w:p>
    <w:p w:rsidR="008E0479" w:rsidRDefault="008E0479" w:rsidP="00690AB8">
      <w:pPr>
        <w:widowControl w:val="0"/>
        <w:autoSpaceDE w:val="0"/>
        <w:autoSpaceDN w:val="0"/>
        <w:adjustRightInd w:val="0"/>
        <w:spacing w:after="80"/>
        <w:rPr>
          <w:rFonts w:asciiTheme="majorHAnsi" w:hAnsiTheme="majorHAnsi"/>
        </w:rPr>
      </w:pPr>
    </w:p>
    <w:p w:rsidR="00690AB8" w:rsidRDefault="00690AB8" w:rsidP="00690AB8">
      <w:pPr>
        <w:widowControl w:val="0"/>
        <w:autoSpaceDE w:val="0"/>
        <w:autoSpaceDN w:val="0"/>
        <w:adjustRightInd w:val="0"/>
        <w:spacing w:after="80"/>
        <w:rPr>
          <w:rFonts w:asciiTheme="majorHAnsi" w:hAnsiTheme="majorHAnsi"/>
        </w:rPr>
      </w:pPr>
    </w:p>
    <w:p w:rsidR="00690AB8" w:rsidRPr="00690AB8" w:rsidRDefault="00690AB8" w:rsidP="00690AB8">
      <w:pPr>
        <w:widowControl w:val="0"/>
        <w:autoSpaceDE w:val="0"/>
        <w:autoSpaceDN w:val="0"/>
        <w:adjustRightInd w:val="0"/>
        <w:spacing w:after="80"/>
        <w:rPr>
          <w:rFonts w:asciiTheme="majorHAnsi" w:hAnsiTheme="majorHAnsi"/>
        </w:rPr>
      </w:pPr>
    </w:p>
    <w:sectPr w:rsidR="00690AB8" w:rsidRPr="00690AB8" w:rsidSect="00690AB8">
      <w:type w:val="continuous"/>
      <w:pgSz w:w="11906" w:h="16838"/>
      <w:pgMar w:top="851" w:right="707" w:bottom="851" w:left="1134" w:header="720" w:footer="851" w:gutter="0"/>
      <w:cols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B8" w:rsidRDefault="00690AB8">
      <w:r>
        <w:separator/>
      </w:r>
    </w:p>
  </w:endnote>
  <w:endnote w:type="continuationSeparator" w:id="0">
    <w:p w:rsidR="00690AB8" w:rsidRDefault="0069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B8" w:rsidRDefault="00690AB8">
      <w:r>
        <w:separator/>
      </w:r>
    </w:p>
  </w:footnote>
  <w:footnote w:type="continuationSeparator" w:id="0">
    <w:p w:rsidR="00690AB8" w:rsidRDefault="0069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04" w:rsidRDefault="00125704">
    <w:pPr>
      <w:pStyle w:val="Kopfzeile"/>
      <w:jc w:val="right"/>
    </w:pPr>
    <w:r>
      <w:rPr>
        <w:rStyle w:val="Seitenzahl"/>
      </w:rPr>
      <w:fldChar w:fldCharType="begin"/>
    </w:r>
    <w:r>
      <w:rPr>
        <w:rStyle w:val="Seitenzahl"/>
      </w:rPr>
      <w:instrText xml:space="preserve"> PAGE </w:instrText>
    </w:r>
    <w:r>
      <w:rPr>
        <w:rStyle w:val="Seitenzahl"/>
      </w:rPr>
      <w:fldChar w:fldCharType="separate"/>
    </w:r>
    <w:r w:rsidR="00F642CE">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704" w:rsidRPr="00390E0E" w:rsidRDefault="00125704" w:rsidP="008E0479">
    <w:pPr>
      <w:pStyle w:val="Kopfzeile"/>
      <w:jc w:val="right"/>
      <w:rPr>
        <w:rFonts w:asciiTheme="majorHAnsi" w:hAnsiTheme="maj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2CBDD4"/>
    <w:lvl w:ilvl="0">
      <w:numFmt w:val="decimal"/>
      <w:lvlText w:val="*"/>
      <w:lvlJc w:val="left"/>
    </w:lvl>
  </w:abstractNum>
  <w:abstractNum w:abstractNumId="1"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4"/>
  </w:num>
  <w:num w:numId="4">
    <w:abstractNumId w:val="16"/>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15"/>
  </w:num>
  <w:num w:numId="10">
    <w:abstractNumId w:val="6"/>
  </w:num>
  <w:num w:numId="11">
    <w:abstractNumId w:val="10"/>
  </w:num>
  <w:num w:numId="12">
    <w:abstractNumId w:val="8"/>
  </w:num>
  <w:num w:numId="13">
    <w:abstractNumId w:val="7"/>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0"/>
  </w:num>
  <w:num w:numId="17">
    <w:abstractNumId w:val="19"/>
  </w:num>
  <w:num w:numId="18">
    <w:abstractNumId w:val="22"/>
  </w:num>
  <w:num w:numId="19">
    <w:abstractNumId w:val="21"/>
  </w:num>
  <w:num w:numId="20">
    <w:abstractNumId w:val="5"/>
  </w:num>
  <w:num w:numId="21">
    <w:abstractNumId w:val="13"/>
  </w:num>
  <w:num w:numId="22">
    <w:abstractNumId w:val="11"/>
  </w:num>
  <w:num w:numId="23">
    <w:abstractNumId w:val="4"/>
  </w:num>
  <w:num w:numId="24">
    <w:abstractNumId w:val="1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B8"/>
    <w:rsid w:val="00076FBF"/>
    <w:rsid w:val="00080024"/>
    <w:rsid w:val="00123D80"/>
    <w:rsid w:val="00125704"/>
    <w:rsid w:val="001C1CF0"/>
    <w:rsid w:val="001F3F35"/>
    <w:rsid w:val="00274294"/>
    <w:rsid w:val="00390E0E"/>
    <w:rsid w:val="003B3339"/>
    <w:rsid w:val="00425077"/>
    <w:rsid w:val="00513B39"/>
    <w:rsid w:val="005B5B02"/>
    <w:rsid w:val="00636752"/>
    <w:rsid w:val="006637E1"/>
    <w:rsid w:val="00690AB8"/>
    <w:rsid w:val="0074584D"/>
    <w:rsid w:val="00867AEE"/>
    <w:rsid w:val="008A594B"/>
    <w:rsid w:val="008E0479"/>
    <w:rsid w:val="00A44BE5"/>
    <w:rsid w:val="00A50ACE"/>
    <w:rsid w:val="00AA7EF0"/>
    <w:rsid w:val="00B4282D"/>
    <w:rsid w:val="00B553FB"/>
    <w:rsid w:val="00B66473"/>
    <w:rsid w:val="00B85713"/>
    <w:rsid w:val="00C234CD"/>
    <w:rsid w:val="00DA7684"/>
    <w:rsid w:val="00EC1608"/>
    <w:rsid w:val="00EE4FFC"/>
    <w:rsid w:val="00F20B6A"/>
    <w:rsid w:val="00F642CE"/>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5FE6CE6F-D122-433A-A052-60F27E84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FFC"/>
    <w:rPr>
      <w:rFonts w:ascii="Trebuchet MS" w:hAnsi="Trebuchet MS"/>
      <w:sz w:val="22"/>
      <w:lang w:val="de-CH"/>
    </w:rPr>
  </w:style>
  <w:style w:type="paragraph" w:styleId="berschrift1">
    <w:name w:val="heading 1"/>
    <w:basedOn w:val="Standard"/>
    <w:next w:val="Standard"/>
    <w:link w:val="berschrift1Zchn"/>
    <w:uiPriority w:val="9"/>
    <w:qFormat/>
    <w:rsid w:val="007A3BED"/>
    <w:pPr>
      <w:keepNext/>
      <w:spacing w:before="240" w:after="60"/>
      <w:ind w:left="567" w:hanging="567"/>
      <w:outlineLvl w:val="0"/>
    </w:pPr>
    <w:rPr>
      <w:b/>
      <w:kern w:val="32"/>
      <w:sz w:val="32"/>
    </w:rPr>
  </w:style>
  <w:style w:type="paragraph" w:styleId="berschrift2">
    <w:name w:val="heading 2"/>
    <w:basedOn w:val="Standard"/>
    <w:next w:val="Standard"/>
    <w:link w:val="berschrift2Zchn"/>
    <w:uiPriority w:val="9"/>
    <w:qFormat/>
    <w:rsid w:val="007A3BED"/>
    <w:pPr>
      <w:keepNext/>
      <w:spacing w:before="240" w:after="60"/>
      <w:ind w:left="1134" w:hanging="567"/>
      <w:outlineLvl w:val="1"/>
    </w:pPr>
    <w:rPr>
      <w:b/>
      <w:sz w:val="28"/>
    </w:rPr>
  </w:style>
  <w:style w:type="paragraph" w:styleId="berschrift3">
    <w:name w:val="heading 3"/>
    <w:basedOn w:val="Standard"/>
    <w:next w:val="Standard"/>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rFonts w:eastAsia="Times New Roman"/>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rFonts w:eastAsia="Times New Roman"/>
      <w:color w:val="000000"/>
      <w:sz w:val="36"/>
    </w:rPr>
  </w:style>
  <w:style w:type="paragraph" w:styleId="Funotentext">
    <w:name w:val="footnote text"/>
    <w:basedOn w:val="Standard"/>
    <w:rsid w:val="0068404E"/>
    <w:rPr>
      <w:rFonts w:ascii="New Century Schlbk" w:hAnsi="New Century Schlbk"/>
      <w:sz w:val="20"/>
    </w:rPr>
  </w:style>
  <w:style w:type="character" w:styleId="Funotenzeichen">
    <w:name w:val="footnote reference"/>
    <w:basedOn w:val="Absatz-Standardschriftart1"/>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sz w:val="20"/>
    </w:rPr>
  </w:style>
  <w:style w:type="paragraph" w:styleId="Endnotentext">
    <w:name w:val="endnote text"/>
    <w:basedOn w:val="Standard"/>
    <w:rsid w:val="0068404E"/>
    <w:rPr>
      <w:sz w:val="24"/>
    </w:rPr>
  </w:style>
  <w:style w:type="character" w:styleId="Endnotenzeichen">
    <w:name w:val="endnote reference"/>
    <w:basedOn w:val="Absatz-Standardschriftart1"/>
    <w:rsid w:val="0068404E"/>
    <w:rPr>
      <w:vertAlign w:val="superscript"/>
    </w:rPr>
  </w:style>
  <w:style w:type="character" w:styleId="Hyperlink">
    <w:name w:val="Hyperlink"/>
    <w:basedOn w:val="Absatz-Standardschriftart1"/>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lois">
    <w:name w:val="Formatvorlage Alois"/>
    <w:basedOn w:val="Standard"/>
    <w:qFormat/>
    <w:rsid w:val="00EE4FFC"/>
  </w:style>
  <w:style w:type="character" w:customStyle="1" w:styleId="berschrift1Zchn">
    <w:name w:val="Überschrift 1 Zchn"/>
    <w:basedOn w:val="Absatz-Standardschriftart"/>
    <w:link w:val="berschrift1"/>
    <w:uiPriority w:val="9"/>
    <w:rsid w:val="00690AB8"/>
    <w:rPr>
      <w:rFonts w:ascii="Trebuchet MS" w:hAnsi="Trebuchet MS"/>
      <w:b/>
      <w:kern w:val="32"/>
      <w:sz w:val="32"/>
      <w:lang w:val="de-CH"/>
    </w:rPr>
  </w:style>
  <w:style w:type="character" w:customStyle="1" w:styleId="berschrift2Zchn">
    <w:name w:val="Überschrift 2 Zchn"/>
    <w:basedOn w:val="Absatz-Standardschriftart"/>
    <w:link w:val="berschrift2"/>
    <w:uiPriority w:val="9"/>
    <w:rsid w:val="00690AB8"/>
    <w:rPr>
      <w:rFonts w:ascii="Trebuchet MS" w:hAnsi="Trebuchet MS"/>
      <w:b/>
      <w:sz w:val="28"/>
      <w:lang w:val="de-CH"/>
    </w:rPr>
  </w:style>
  <w:style w:type="character" w:customStyle="1" w:styleId="fup-article-vhb-department">
    <w:name w:val="fup-article-vhb-department"/>
    <w:basedOn w:val="Absatz-Standardschriftart"/>
    <w:rsid w:val="00690AB8"/>
  </w:style>
  <w:style w:type="character" w:customStyle="1" w:styleId="fup-article-header-nav">
    <w:name w:val="fup-article-header-nav"/>
    <w:basedOn w:val="Absatz-Standardschriftart"/>
    <w:rsid w:val="00690AB8"/>
  </w:style>
  <w:style w:type="character" w:customStyle="1" w:styleId="legende">
    <w:name w:val="legende"/>
    <w:basedOn w:val="Absatz-Standardschriftart"/>
    <w:rsid w:val="00690AB8"/>
  </w:style>
  <w:style w:type="paragraph" w:customStyle="1" w:styleId="lead">
    <w:name w:val="lead"/>
    <w:basedOn w:val="Standard"/>
    <w:rsid w:val="00690AB8"/>
    <w:pPr>
      <w:spacing w:before="100" w:beforeAutospacing="1" w:after="100" w:afterAutospacing="1"/>
    </w:pPr>
    <w:rPr>
      <w:rFonts w:ascii="Times" w:hAnsi="Times"/>
      <w:sz w:val="20"/>
      <w:szCs w:val="20"/>
      <w:lang w:eastAsia="de-DE"/>
    </w:rPr>
  </w:style>
  <w:style w:type="paragraph" w:customStyle="1" w:styleId="autor">
    <w:name w:val="autor"/>
    <w:basedOn w:val="Standard"/>
    <w:rsid w:val="00690AB8"/>
    <w:pPr>
      <w:spacing w:before="100" w:beforeAutospacing="1" w:after="100" w:afterAutospacing="1"/>
    </w:pPr>
    <w:rPr>
      <w:rFonts w:ascii="Times" w:hAnsi="Times"/>
      <w:sz w:val="20"/>
      <w:szCs w:val="20"/>
      <w:lang w:eastAsia="de-DE"/>
    </w:rPr>
  </w:style>
  <w:style w:type="paragraph" w:customStyle="1" w:styleId="lauftext">
    <w:name w:val="lauftext"/>
    <w:basedOn w:val="Standard"/>
    <w:rsid w:val="00690AB8"/>
    <w:pPr>
      <w:spacing w:before="100" w:beforeAutospacing="1" w:after="100" w:afterAutospacing="1"/>
    </w:pPr>
    <w:rPr>
      <w:rFonts w:ascii="Times" w:hAnsi="Times"/>
      <w:sz w:val="20"/>
      <w:szCs w:val="20"/>
      <w:lang w:eastAsia="de-DE"/>
    </w:rPr>
  </w:style>
  <w:style w:type="paragraph" w:styleId="Sprechblasentext">
    <w:name w:val="Balloon Text"/>
    <w:basedOn w:val="Standard"/>
    <w:link w:val="SprechblasentextZchn"/>
    <w:uiPriority w:val="99"/>
    <w:semiHidden/>
    <w:unhideWhenUsed/>
    <w:rsid w:val="00690AB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90AB8"/>
    <w:rPr>
      <w:rFonts w:ascii="Lucida Grande" w:hAnsi="Lucida Grande" w:cs="Lucida Grande"/>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9631">
      <w:bodyDiv w:val="1"/>
      <w:marLeft w:val="0"/>
      <w:marRight w:val="0"/>
      <w:marTop w:val="0"/>
      <w:marBottom w:val="0"/>
      <w:divBdr>
        <w:top w:val="none" w:sz="0" w:space="0" w:color="auto"/>
        <w:left w:val="none" w:sz="0" w:space="0" w:color="auto"/>
        <w:bottom w:val="none" w:sz="0" w:space="0" w:color="auto"/>
        <w:right w:val="none" w:sz="0" w:space="0" w:color="auto"/>
      </w:divBdr>
      <w:divsChild>
        <w:div w:id="1504588651">
          <w:marLeft w:val="0"/>
          <w:marRight w:val="0"/>
          <w:marTop w:val="0"/>
          <w:marBottom w:val="0"/>
          <w:divBdr>
            <w:top w:val="none" w:sz="0" w:space="0" w:color="auto"/>
            <w:left w:val="none" w:sz="0" w:space="0" w:color="auto"/>
            <w:bottom w:val="none" w:sz="0" w:space="0" w:color="auto"/>
            <w:right w:val="none" w:sz="0" w:space="0" w:color="auto"/>
          </w:divBdr>
        </w:div>
        <w:div w:id="1110783484">
          <w:marLeft w:val="0"/>
          <w:marRight w:val="0"/>
          <w:marTop w:val="0"/>
          <w:marBottom w:val="0"/>
          <w:divBdr>
            <w:top w:val="none" w:sz="0" w:space="0" w:color="auto"/>
            <w:left w:val="none" w:sz="0" w:space="0" w:color="auto"/>
            <w:bottom w:val="none" w:sz="0" w:space="0" w:color="auto"/>
            <w:right w:val="none" w:sz="0" w:space="0" w:color="auto"/>
          </w:divBdr>
          <w:divsChild>
            <w:div w:id="8307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52689745</Template>
  <TotalTime>0</TotalTime>
  <Pages>2</Pages>
  <Words>1062</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HUNDERTPFUND ALOIS</dc:creator>
  <cp:keywords/>
  <dc:description/>
  <cp:lastModifiedBy>Philipona Marc</cp:lastModifiedBy>
  <cp:revision>2</cp:revision>
  <cp:lastPrinted>2006-10-26T08:58:00Z</cp:lastPrinted>
  <dcterms:created xsi:type="dcterms:W3CDTF">2018-04-19T13:37:00Z</dcterms:created>
  <dcterms:modified xsi:type="dcterms:W3CDTF">2018-04-19T13:37:00Z</dcterms:modified>
</cp:coreProperties>
</file>